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36EAD" w14:textId="77777777" w:rsidR="00DA1DD0" w:rsidRPr="001C2414" w:rsidRDefault="00DA1DD0" w:rsidP="00FC077F">
      <w:pPr>
        <w:rPr>
          <w:rFonts w:ascii="NewsGoth BT" w:hAnsi="NewsGoth BT"/>
          <w:iCs/>
          <w:sz w:val="20"/>
          <w:szCs w:val="20"/>
        </w:rPr>
      </w:pPr>
    </w:p>
    <w:p w14:paraId="3BB9BAAA" w14:textId="2665F539" w:rsidR="00DA1DD0" w:rsidRPr="00060939" w:rsidRDefault="00DA1DD0" w:rsidP="00FC077F">
      <w:pPr>
        <w:rPr>
          <w:rFonts w:ascii="NewsGoth BT" w:hAnsi="NewsGoth BT"/>
          <w:iCs/>
          <w:sz w:val="44"/>
          <w:szCs w:val="44"/>
        </w:rPr>
      </w:pPr>
      <w:r w:rsidRPr="00060939">
        <w:rPr>
          <w:rFonts w:ascii="NewsGoth BT" w:hAnsi="NewsGoth BT"/>
          <w:iCs/>
          <w:sz w:val="44"/>
          <w:szCs w:val="44"/>
        </w:rPr>
        <w:t>A guide to</w:t>
      </w:r>
    </w:p>
    <w:p w14:paraId="5F3AE119" w14:textId="12176C3D" w:rsidR="00DA1DD0" w:rsidRDefault="00CD6444" w:rsidP="00FA576A">
      <w:pPr>
        <w:rPr>
          <w:rFonts w:ascii="NewsGoth BT" w:hAnsi="NewsGoth BT"/>
          <w:iCs/>
          <w:sz w:val="52"/>
          <w:szCs w:val="52"/>
        </w:rPr>
      </w:pPr>
      <w:r>
        <w:rPr>
          <w:rFonts w:ascii="NewsGoth BT" w:hAnsi="NewsGoth BT"/>
          <w:iCs/>
          <w:sz w:val="52"/>
          <w:szCs w:val="52"/>
        </w:rPr>
        <w:t>Budget 20</w:t>
      </w:r>
      <w:r w:rsidR="00E27F90">
        <w:rPr>
          <w:rFonts w:ascii="NewsGoth BT" w:hAnsi="NewsGoth BT"/>
          <w:iCs/>
          <w:sz w:val="52"/>
          <w:szCs w:val="52"/>
        </w:rPr>
        <w:t>20</w:t>
      </w:r>
    </w:p>
    <w:p w14:paraId="70DA7803" w14:textId="77777777" w:rsidR="00DA1DD0" w:rsidRDefault="00DA1DD0" w:rsidP="00FA576A">
      <w:pPr>
        <w:pStyle w:val="Heading3"/>
        <w:spacing w:before="0" w:after="0"/>
        <w:rPr>
          <w:rFonts w:ascii="NewsGoth BT" w:hAnsi="NewsGoth BT"/>
          <w:bCs w:val="0"/>
          <w:sz w:val="20"/>
        </w:rPr>
      </w:pPr>
    </w:p>
    <w:p w14:paraId="083AF591" w14:textId="77777777" w:rsidR="00DA1DD0" w:rsidRDefault="00DA1DD0" w:rsidP="00FA576A">
      <w:pPr>
        <w:pStyle w:val="Heading3"/>
        <w:spacing w:before="0" w:after="0"/>
        <w:rPr>
          <w:rFonts w:ascii="NewsGoth BT" w:hAnsi="NewsGoth BT"/>
          <w:bCs w:val="0"/>
          <w:sz w:val="20"/>
        </w:rPr>
      </w:pPr>
    </w:p>
    <w:p w14:paraId="58EB737F" w14:textId="726CECE1" w:rsidR="00DA1DD0" w:rsidRPr="00A85E8F" w:rsidRDefault="00DA1DD0" w:rsidP="00845527">
      <w:pPr>
        <w:pStyle w:val="Heading3"/>
        <w:spacing w:before="0" w:after="0"/>
        <w:rPr>
          <w:bCs w:val="0"/>
          <w:sz w:val="22"/>
          <w:szCs w:val="22"/>
        </w:rPr>
      </w:pPr>
      <w:r w:rsidRPr="00A85E8F">
        <w:rPr>
          <w:bCs w:val="0"/>
          <w:sz w:val="22"/>
          <w:szCs w:val="22"/>
        </w:rPr>
        <w:t>A</w:t>
      </w:r>
      <w:r w:rsidR="00CD6444" w:rsidRPr="00A85E8F">
        <w:rPr>
          <w:bCs w:val="0"/>
          <w:sz w:val="22"/>
          <w:szCs w:val="22"/>
        </w:rPr>
        <w:t xml:space="preserve"> SIMPLE GUIDE TO THE BUDGET 20</w:t>
      </w:r>
      <w:r w:rsidR="00E27F90">
        <w:rPr>
          <w:bCs w:val="0"/>
          <w:sz w:val="22"/>
          <w:szCs w:val="22"/>
        </w:rPr>
        <w:t>20</w:t>
      </w:r>
    </w:p>
    <w:p w14:paraId="5BBAB556" w14:textId="792B9E89" w:rsidR="0065704D" w:rsidRPr="00A85E8F" w:rsidRDefault="0065704D" w:rsidP="0065704D">
      <w:pPr>
        <w:rPr>
          <w:rFonts w:ascii="Arial" w:hAnsi="Arial" w:cs="Arial"/>
          <w:sz w:val="22"/>
          <w:szCs w:val="22"/>
        </w:rPr>
      </w:pPr>
      <w:r w:rsidRPr="00A85E8F">
        <w:rPr>
          <w:rFonts w:ascii="Arial" w:hAnsi="Arial" w:cs="Arial"/>
          <w:sz w:val="22"/>
          <w:szCs w:val="22"/>
        </w:rPr>
        <w:t>This is a basic guide</w:t>
      </w:r>
      <w:r w:rsidR="00385201">
        <w:rPr>
          <w:rFonts w:ascii="Arial" w:hAnsi="Arial" w:cs="Arial"/>
          <w:sz w:val="22"/>
          <w:szCs w:val="22"/>
        </w:rPr>
        <w:t xml:space="preserve"> </w:t>
      </w:r>
      <w:proofErr w:type="gramStart"/>
      <w:r w:rsidR="00385201">
        <w:rPr>
          <w:rFonts w:ascii="Arial" w:hAnsi="Arial" w:cs="Arial"/>
          <w:sz w:val="22"/>
          <w:szCs w:val="22"/>
        </w:rPr>
        <w:t xml:space="preserve">and </w:t>
      </w:r>
      <w:r w:rsidRPr="00A85E8F">
        <w:rPr>
          <w:rFonts w:ascii="Arial" w:hAnsi="Arial" w:cs="Arial"/>
          <w:sz w:val="22"/>
          <w:szCs w:val="22"/>
        </w:rPr>
        <w:t xml:space="preserve"> an</w:t>
      </w:r>
      <w:proofErr w:type="gramEnd"/>
      <w:r w:rsidRPr="00A85E8F">
        <w:rPr>
          <w:rFonts w:ascii="Arial" w:hAnsi="Arial" w:cs="Arial"/>
          <w:sz w:val="22"/>
          <w:szCs w:val="22"/>
        </w:rPr>
        <w:t xml:space="preserve"> introduction only and should not be used as a definitive guide, since individual circumstances may vary. </w:t>
      </w:r>
      <w:r w:rsidR="00385201">
        <w:rPr>
          <w:rFonts w:ascii="Arial" w:hAnsi="Arial" w:cs="Arial"/>
          <w:sz w:val="22"/>
          <w:szCs w:val="22"/>
        </w:rPr>
        <w:t>Please contact us for specific advice on any issues.</w:t>
      </w:r>
      <w:bookmarkStart w:id="0" w:name="_GoBack"/>
      <w:bookmarkEnd w:id="0"/>
    </w:p>
    <w:p w14:paraId="24CB9B28" w14:textId="77777777" w:rsidR="0065704D" w:rsidRPr="00A85E8F" w:rsidRDefault="0065704D" w:rsidP="0065704D">
      <w:pPr>
        <w:rPr>
          <w:rFonts w:ascii="Arial" w:hAnsi="Arial" w:cs="Arial"/>
          <w:sz w:val="22"/>
          <w:szCs w:val="22"/>
        </w:rPr>
      </w:pPr>
    </w:p>
    <w:p w14:paraId="320C0B20" w14:textId="30659FFD" w:rsidR="00A96611" w:rsidRPr="00A85E8F" w:rsidRDefault="0065704D" w:rsidP="0065704D">
      <w:pPr>
        <w:rPr>
          <w:rFonts w:ascii="Arial" w:hAnsi="Arial" w:cs="Arial"/>
          <w:color w:val="0B0C0C"/>
          <w:sz w:val="22"/>
          <w:szCs w:val="22"/>
          <w:shd w:val="clear" w:color="auto" w:fill="FFFFFF"/>
        </w:rPr>
      </w:pPr>
      <w:r w:rsidRPr="00A85E8F">
        <w:rPr>
          <w:rFonts w:ascii="Arial" w:hAnsi="Arial" w:cs="Arial"/>
          <w:sz w:val="22"/>
          <w:szCs w:val="22"/>
        </w:rPr>
        <w:t>The message from the Chancellor was</w:t>
      </w:r>
      <w:r w:rsidRPr="00A85E8F">
        <w:rPr>
          <w:rFonts w:ascii="Arial" w:hAnsi="Arial" w:cs="Arial"/>
          <w:color w:val="0B0C0C"/>
          <w:sz w:val="22"/>
          <w:szCs w:val="22"/>
          <w:shd w:val="clear" w:color="auto" w:fill="FFFFFF"/>
        </w:rPr>
        <w:t xml:space="preserve"> that </w:t>
      </w:r>
      <w:r w:rsidR="00A96611" w:rsidRPr="00A85E8F">
        <w:rPr>
          <w:rFonts w:ascii="Arial" w:hAnsi="Arial" w:cs="Arial"/>
          <w:color w:val="0B0C0C"/>
          <w:sz w:val="22"/>
          <w:szCs w:val="22"/>
          <w:shd w:val="clear" w:color="auto" w:fill="FFFFFF"/>
        </w:rPr>
        <w:t xml:space="preserve">this is a budget that shows </w:t>
      </w:r>
      <w:r w:rsidR="009F380D">
        <w:rPr>
          <w:rFonts w:ascii="Arial" w:hAnsi="Arial" w:cs="Arial"/>
          <w:color w:val="0B0C0C"/>
          <w:sz w:val="22"/>
          <w:szCs w:val="22"/>
          <w:shd w:val="clear" w:color="auto" w:fill="FFFFFF"/>
        </w:rPr>
        <w:t xml:space="preserve">‘the government gets things </w:t>
      </w:r>
      <w:proofErr w:type="gramStart"/>
      <w:r w:rsidR="009F380D">
        <w:rPr>
          <w:rFonts w:ascii="Arial" w:hAnsi="Arial" w:cs="Arial"/>
          <w:color w:val="0B0C0C"/>
          <w:sz w:val="22"/>
          <w:szCs w:val="22"/>
          <w:shd w:val="clear" w:color="auto" w:fill="FFFFFF"/>
        </w:rPr>
        <w:t>done</w:t>
      </w:r>
      <w:proofErr w:type="gramEnd"/>
      <w:r w:rsidR="00A96611" w:rsidRPr="00A85E8F">
        <w:rPr>
          <w:rFonts w:ascii="Arial" w:hAnsi="Arial" w:cs="Arial"/>
          <w:color w:val="0B0C0C"/>
          <w:sz w:val="22"/>
          <w:szCs w:val="22"/>
          <w:shd w:val="clear" w:color="auto" w:fill="FFFFFF"/>
        </w:rPr>
        <w:t>.</w:t>
      </w:r>
      <w:r w:rsidR="00BD6460">
        <w:rPr>
          <w:rFonts w:ascii="Arial" w:hAnsi="Arial" w:cs="Arial"/>
          <w:color w:val="0B0C0C"/>
          <w:sz w:val="22"/>
          <w:szCs w:val="22"/>
          <w:shd w:val="clear" w:color="auto" w:fill="FFFFFF"/>
        </w:rPr>
        <w:t>’</w:t>
      </w:r>
    </w:p>
    <w:p w14:paraId="131389F1" w14:textId="77777777" w:rsidR="00A96611" w:rsidRPr="00A85E8F" w:rsidRDefault="00A96611" w:rsidP="0065704D">
      <w:pPr>
        <w:rPr>
          <w:rFonts w:ascii="Arial" w:hAnsi="Arial" w:cs="Arial"/>
          <w:color w:val="0B0C0C"/>
          <w:sz w:val="22"/>
          <w:szCs w:val="22"/>
          <w:shd w:val="clear" w:color="auto" w:fill="FFFFFF"/>
        </w:rPr>
      </w:pPr>
    </w:p>
    <w:p w14:paraId="6F9FA8AE" w14:textId="77777777" w:rsidR="0065704D" w:rsidRPr="00A85E8F" w:rsidRDefault="0065704D" w:rsidP="0065704D">
      <w:pPr>
        <w:rPr>
          <w:rFonts w:ascii="Arial" w:hAnsi="Arial" w:cs="Arial"/>
          <w:sz w:val="22"/>
          <w:szCs w:val="22"/>
        </w:rPr>
      </w:pPr>
      <w:r w:rsidRPr="00A85E8F">
        <w:rPr>
          <w:rFonts w:ascii="Arial" w:hAnsi="Arial" w:cs="Arial"/>
          <w:sz w:val="22"/>
          <w:szCs w:val="22"/>
        </w:rPr>
        <w:t>You can read the individual measures and details of some of the numerous consultations below.</w:t>
      </w:r>
    </w:p>
    <w:p w14:paraId="5B171C03" w14:textId="77777777" w:rsidR="003509D0" w:rsidRPr="00A85E8F" w:rsidRDefault="003509D0" w:rsidP="00845527">
      <w:pPr>
        <w:rPr>
          <w:rFonts w:ascii="Arial" w:hAnsi="Arial" w:cs="Arial"/>
          <w:sz w:val="22"/>
          <w:szCs w:val="22"/>
        </w:rPr>
      </w:pPr>
    </w:p>
    <w:p w14:paraId="209A8239" w14:textId="77777777" w:rsidR="003509D0" w:rsidRPr="00A85E8F" w:rsidRDefault="003509D0" w:rsidP="00845527">
      <w:pPr>
        <w:rPr>
          <w:rFonts w:ascii="Arial" w:hAnsi="Arial" w:cs="Arial"/>
          <w:b/>
          <w:sz w:val="22"/>
          <w:szCs w:val="22"/>
        </w:rPr>
      </w:pPr>
      <w:r w:rsidRPr="00A85E8F">
        <w:rPr>
          <w:rFonts w:ascii="Arial" w:hAnsi="Arial" w:cs="Arial"/>
          <w:b/>
          <w:sz w:val="22"/>
          <w:szCs w:val="22"/>
        </w:rPr>
        <w:t>Rates and allowances</w:t>
      </w:r>
    </w:p>
    <w:tbl>
      <w:tblPr>
        <w:tblW w:w="139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9"/>
        <w:gridCol w:w="1985"/>
        <w:gridCol w:w="1985"/>
        <w:gridCol w:w="1985"/>
        <w:gridCol w:w="1985"/>
      </w:tblGrid>
      <w:tr w:rsidR="006D4580" w:rsidRPr="00A85E8F" w14:paraId="7FC11CC1" w14:textId="77777777" w:rsidTr="00E27F90">
        <w:trPr>
          <w:gridAfter w:val="2"/>
          <w:wAfter w:w="3970" w:type="dxa"/>
          <w:trHeight w:val="255"/>
        </w:trPr>
        <w:tc>
          <w:tcPr>
            <w:tcW w:w="5969" w:type="dxa"/>
            <w:shd w:val="clear" w:color="auto" w:fill="D9D9D9"/>
            <w:noWrap/>
            <w:vAlign w:val="bottom"/>
          </w:tcPr>
          <w:p w14:paraId="62828418" w14:textId="77777777" w:rsidR="006D4580" w:rsidRPr="00A85E8F" w:rsidRDefault="006D4580" w:rsidP="00AF44C6">
            <w:pPr>
              <w:rPr>
                <w:rFonts w:ascii="Arial" w:hAnsi="Arial" w:cs="Arial"/>
                <w:sz w:val="22"/>
                <w:szCs w:val="22"/>
                <w:lang w:eastAsia="en-GB"/>
              </w:rPr>
            </w:pPr>
          </w:p>
        </w:tc>
        <w:tc>
          <w:tcPr>
            <w:tcW w:w="1985" w:type="dxa"/>
            <w:shd w:val="clear" w:color="auto" w:fill="D9D9D9"/>
            <w:noWrap/>
            <w:vAlign w:val="bottom"/>
          </w:tcPr>
          <w:p w14:paraId="4412802F" w14:textId="77777777" w:rsidR="006D4580" w:rsidRPr="00A85E8F" w:rsidRDefault="00A96611" w:rsidP="00AF44C6">
            <w:pPr>
              <w:jc w:val="center"/>
              <w:rPr>
                <w:rFonts w:ascii="Arial" w:hAnsi="Arial" w:cs="Arial"/>
                <w:b/>
                <w:bCs/>
                <w:sz w:val="22"/>
                <w:szCs w:val="22"/>
                <w:lang w:eastAsia="en-GB"/>
              </w:rPr>
            </w:pPr>
            <w:r w:rsidRPr="00A85E8F">
              <w:rPr>
                <w:rFonts w:ascii="Arial" w:hAnsi="Arial" w:cs="Arial"/>
                <w:b/>
                <w:bCs/>
                <w:sz w:val="22"/>
                <w:szCs w:val="22"/>
                <w:lang w:eastAsia="en-GB"/>
              </w:rPr>
              <w:t>2019/20</w:t>
            </w:r>
          </w:p>
        </w:tc>
        <w:tc>
          <w:tcPr>
            <w:tcW w:w="1985" w:type="dxa"/>
            <w:shd w:val="clear" w:color="auto" w:fill="D9D9D9"/>
            <w:noWrap/>
            <w:vAlign w:val="bottom"/>
          </w:tcPr>
          <w:p w14:paraId="14CC6165" w14:textId="0EA4E737" w:rsidR="006D4580" w:rsidRPr="00A85E8F" w:rsidRDefault="00E27F90" w:rsidP="00AF44C6">
            <w:pPr>
              <w:jc w:val="center"/>
              <w:rPr>
                <w:rFonts w:ascii="Arial" w:hAnsi="Arial" w:cs="Arial"/>
                <w:b/>
                <w:bCs/>
                <w:sz w:val="22"/>
                <w:szCs w:val="22"/>
                <w:lang w:eastAsia="en-GB"/>
              </w:rPr>
            </w:pPr>
            <w:r>
              <w:rPr>
                <w:rFonts w:ascii="Arial" w:hAnsi="Arial" w:cs="Arial"/>
                <w:b/>
                <w:bCs/>
                <w:sz w:val="22"/>
                <w:szCs w:val="22"/>
                <w:lang w:eastAsia="en-GB"/>
              </w:rPr>
              <w:t>2020/2021</w:t>
            </w:r>
          </w:p>
        </w:tc>
      </w:tr>
      <w:tr w:rsidR="006D4580" w:rsidRPr="00A85E8F" w14:paraId="4B83C4F7" w14:textId="77777777" w:rsidTr="00E27F90">
        <w:trPr>
          <w:gridAfter w:val="2"/>
          <w:wAfter w:w="3970" w:type="dxa"/>
          <w:trHeight w:val="255"/>
        </w:trPr>
        <w:tc>
          <w:tcPr>
            <w:tcW w:w="5969" w:type="dxa"/>
            <w:noWrap/>
            <w:vAlign w:val="bottom"/>
          </w:tcPr>
          <w:p w14:paraId="2E7919BE" w14:textId="77777777" w:rsidR="006D4580" w:rsidRPr="00A85E8F" w:rsidRDefault="006D4580" w:rsidP="00AF44C6">
            <w:pPr>
              <w:rPr>
                <w:rFonts w:ascii="Arial" w:hAnsi="Arial" w:cs="Arial"/>
                <w:sz w:val="22"/>
                <w:szCs w:val="22"/>
                <w:lang w:eastAsia="en-GB"/>
              </w:rPr>
            </w:pPr>
          </w:p>
        </w:tc>
        <w:tc>
          <w:tcPr>
            <w:tcW w:w="1985" w:type="dxa"/>
            <w:noWrap/>
            <w:vAlign w:val="bottom"/>
          </w:tcPr>
          <w:p w14:paraId="76DD4ACA" w14:textId="77777777" w:rsidR="006D4580" w:rsidRPr="00A85E8F" w:rsidRDefault="006D4580" w:rsidP="00AF44C6">
            <w:pPr>
              <w:jc w:val="center"/>
              <w:rPr>
                <w:rFonts w:ascii="Arial" w:hAnsi="Arial" w:cs="Arial"/>
                <w:b/>
                <w:bCs/>
                <w:sz w:val="22"/>
                <w:szCs w:val="22"/>
                <w:lang w:eastAsia="en-GB"/>
              </w:rPr>
            </w:pPr>
            <w:r w:rsidRPr="00A85E8F">
              <w:rPr>
                <w:rFonts w:ascii="Arial" w:hAnsi="Arial" w:cs="Arial"/>
                <w:b/>
                <w:bCs/>
                <w:sz w:val="22"/>
                <w:szCs w:val="22"/>
                <w:lang w:eastAsia="en-GB"/>
              </w:rPr>
              <w:t>£</w:t>
            </w:r>
          </w:p>
        </w:tc>
        <w:tc>
          <w:tcPr>
            <w:tcW w:w="1985" w:type="dxa"/>
            <w:noWrap/>
            <w:vAlign w:val="bottom"/>
          </w:tcPr>
          <w:p w14:paraId="228B0D23" w14:textId="77777777" w:rsidR="006D4580" w:rsidRPr="00A85E8F" w:rsidRDefault="006D4580" w:rsidP="00AF44C6">
            <w:pPr>
              <w:jc w:val="center"/>
              <w:rPr>
                <w:rFonts w:ascii="Arial" w:hAnsi="Arial" w:cs="Arial"/>
                <w:b/>
                <w:bCs/>
                <w:sz w:val="22"/>
                <w:szCs w:val="22"/>
                <w:lang w:eastAsia="en-GB"/>
              </w:rPr>
            </w:pPr>
            <w:r w:rsidRPr="00A85E8F">
              <w:rPr>
                <w:rFonts w:ascii="Arial" w:hAnsi="Arial" w:cs="Arial"/>
                <w:b/>
                <w:bCs/>
                <w:sz w:val="22"/>
                <w:szCs w:val="22"/>
                <w:lang w:eastAsia="en-GB"/>
              </w:rPr>
              <w:t>£</w:t>
            </w:r>
          </w:p>
        </w:tc>
      </w:tr>
      <w:tr w:rsidR="006D4580" w:rsidRPr="00A85E8F" w14:paraId="32C66DBC" w14:textId="77777777" w:rsidTr="00E27F90">
        <w:trPr>
          <w:gridAfter w:val="2"/>
          <w:wAfter w:w="3970" w:type="dxa"/>
          <w:trHeight w:val="255"/>
        </w:trPr>
        <w:tc>
          <w:tcPr>
            <w:tcW w:w="9939" w:type="dxa"/>
            <w:gridSpan w:val="3"/>
            <w:shd w:val="clear" w:color="auto" w:fill="D9D9D9"/>
            <w:noWrap/>
            <w:vAlign w:val="bottom"/>
          </w:tcPr>
          <w:p w14:paraId="19281BFD" w14:textId="77777777" w:rsidR="006D4580" w:rsidRPr="00A85E8F" w:rsidRDefault="006D4580" w:rsidP="00AF44C6">
            <w:pPr>
              <w:rPr>
                <w:rFonts w:ascii="Arial" w:hAnsi="Arial" w:cs="Arial"/>
                <w:sz w:val="22"/>
                <w:szCs w:val="22"/>
                <w:lang w:eastAsia="en-GB"/>
              </w:rPr>
            </w:pPr>
            <w:r w:rsidRPr="00A85E8F">
              <w:rPr>
                <w:rFonts w:ascii="Arial" w:hAnsi="Arial" w:cs="Arial"/>
                <w:b/>
                <w:bCs/>
                <w:sz w:val="22"/>
                <w:szCs w:val="22"/>
                <w:lang w:eastAsia="en-GB"/>
              </w:rPr>
              <w:t>Income tax rates - (non-dividend income)</w:t>
            </w:r>
          </w:p>
        </w:tc>
      </w:tr>
      <w:tr w:rsidR="006D4580" w:rsidRPr="00A85E8F" w14:paraId="671DD0A0" w14:textId="77777777" w:rsidTr="00E27F90">
        <w:trPr>
          <w:gridAfter w:val="2"/>
          <w:wAfter w:w="3970" w:type="dxa"/>
          <w:trHeight w:val="255"/>
        </w:trPr>
        <w:tc>
          <w:tcPr>
            <w:tcW w:w="5969" w:type="dxa"/>
            <w:noWrap/>
            <w:vAlign w:val="bottom"/>
          </w:tcPr>
          <w:p w14:paraId="016CA150" w14:textId="77777777" w:rsidR="006D4580" w:rsidRPr="00A85E8F" w:rsidRDefault="006D4580" w:rsidP="00AF44C6">
            <w:pPr>
              <w:rPr>
                <w:rFonts w:ascii="Arial" w:hAnsi="Arial" w:cs="Arial"/>
                <w:sz w:val="22"/>
                <w:szCs w:val="22"/>
                <w:lang w:eastAsia="en-GB"/>
              </w:rPr>
            </w:pPr>
            <w:r w:rsidRPr="00A85E8F">
              <w:rPr>
                <w:rFonts w:ascii="Arial" w:hAnsi="Arial" w:cs="Arial"/>
                <w:sz w:val="22"/>
                <w:szCs w:val="22"/>
                <w:lang w:eastAsia="en-GB"/>
              </w:rPr>
              <w:t>0% lower rate tax - savings rate only</w:t>
            </w:r>
          </w:p>
        </w:tc>
        <w:tc>
          <w:tcPr>
            <w:tcW w:w="1985" w:type="dxa"/>
            <w:noWrap/>
            <w:vAlign w:val="bottom"/>
          </w:tcPr>
          <w:p w14:paraId="3F752FA3" w14:textId="77777777" w:rsidR="006D4580" w:rsidRPr="00A85E8F" w:rsidRDefault="002D1E66" w:rsidP="00AF44C6">
            <w:pPr>
              <w:jc w:val="center"/>
              <w:rPr>
                <w:rFonts w:ascii="Arial" w:hAnsi="Arial" w:cs="Arial"/>
                <w:sz w:val="22"/>
                <w:szCs w:val="22"/>
              </w:rPr>
            </w:pPr>
            <w:r w:rsidRPr="00A85E8F">
              <w:rPr>
                <w:rFonts w:ascii="Arial" w:hAnsi="Arial" w:cs="Arial"/>
                <w:sz w:val="22"/>
                <w:szCs w:val="22"/>
              </w:rPr>
              <w:t>Up to 5,000</w:t>
            </w:r>
          </w:p>
        </w:tc>
        <w:tc>
          <w:tcPr>
            <w:tcW w:w="1985" w:type="dxa"/>
            <w:noWrap/>
            <w:vAlign w:val="bottom"/>
          </w:tcPr>
          <w:p w14:paraId="0DB15530" w14:textId="3A743965" w:rsidR="006D4580" w:rsidRPr="00A85E8F" w:rsidRDefault="004F7482" w:rsidP="00AF44C6">
            <w:pPr>
              <w:jc w:val="center"/>
              <w:rPr>
                <w:rFonts w:ascii="Arial" w:hAnsi="Arial" w:cs="Arial"/>
                <w:sz w:val="22"/>
                <w:szCs w:val="22"/>
              </w:rPr>
            </w:pPr>
            <w:r w:rsidRPr="00A85E8F">
              <w:rPr>
                <w:rFonts w:ascii="Arial" w:hAnsi="Arial" w:cs="Arial"/>
                <w:sz w:val="22"/>
                <w:szCs w:val="22"/>
              </w:rPr>
              <w:t>Up to 5,000</w:t>
            </w:r>
          </w:p>
        </w:tc>
      </w:tr>
      <w:tr w:rsidR="006D4580" w:rsidRPr="00A85E8F" w14:paraId="205C5681" w14:textId="77777777" w:rsidTr="00E27F90">
        <w:trPr>
          <w:gridAfter w:val="2"/>
          <w:wAfter w:w="3970" w:type="dxa"/>
          <w:trHeight w:val="255"/>
        </w:trPr>
        <w:tc>
          <w:tcPr>
            <w:tcW w:w="5969" w:type="dxa"/>
            <w:noWrap/>
            <w:vAlign w:val="bottom"/>
          </w:tcPr>
          <w:p w14:paraId="7DD9812F" w14:textId="77777777" w:rsidR="006D4580" w:rsidRPr="00A85E8F" w:rsidRDefault="006D4580" w:rsidP="00AF44C6">
            <w:pPr>
              <w:rPr>
                <w:rFonts w:ascii="Arial" w:hAnsi="Arial" w:cs="Arial"/>
                <w:sz w:val="22"/>
                <w:szCs w:val="22"/>
                <w:lang w:eastAsia="en-GB"/>
              </w:rPr>
            </w:pPr>
            <w:r w:rsidRPr="00A85E8F">
              <w:rPr>
                <w:rFonts w:ascii="Arial" w:hAnsi="Arial" w:cs="Arial"/>
                <w:sz w:val="22"/>
                <w:szCs w:val="22"/>
                <w:lang w:eastAsia="en-GB"/>
              </w:rPr>
              <w:t>20% basic rate tax</w:t>
            </w:r>
          </w:p>
        </w:tc>
        <w:tc>
          <w:tcPr>
            <w:tcW w:w="1985" w:type="dxa"/>
            <w:noWrap/>
            <w:vAlign w:val="bottom"/>
          </w:tcPr>
          <w:p w14:paraId="1C3DD9F8" w14:textId="77777777" w:rsidR="006D4580" w:rsidRPr="00A85E8F" w:rsidRDefault="002D1E66" w:rsidP="00932D05">
            <w:pPr>
              <w:jc w:val="center"/>
              <w:rPr>
                <w:rFonts w:ascii="Arial" w:hAnsi="Arial" w:cs="Arial"/>
                <w:sz w:val="22"/>
                <w:szCs w:val="22"/>
              </w:rPr>
            </w:pPr>
            <w:r w:rsidRPr="00A85E8F">
              <w:rPr>
                <w:rFonts w:ascii="Arial" w:hAnsi="Arial" w:cs="Arial"/>
                <w:sz w:val="22"/>
                <w:szCs w:val="22"/>
              </w:rPr>
              <w:t>12,501 to 50,000</w:t>
            </w:r>
          </w:p>
        </w:tc>
        <w:tc>
          <w:tcPr>
            <w:tcW w:w="1985" w:type="dxa"/>
            <w:noWrap/>
            <w:vAlign w:val="bottom"/>
          </w:tcPr>
          <w:p w14:paraId="0BDFB62B" w14:textId="51884292" w:rsidR="006D4580" w:rsidRPr="00A85E8F" w:rsidRDefault="004F7482" w:rsidP="00434DC2">
            <w:pPr>
              <w:jc w:val="center"/>
              <w:rPr>
                <w:rFonts w:ascii="Arial" w:hAnsi="Arial" w:cs="Arial"/>
                <w:sz w:val="22"/>
                <w:szCs w:val="22"/>
              </w:rPr>
            </w:pPr>
            <w:r w:rsidRPr="00A85E8F">
              <w:rPr>
                <w:rFonts w:ascii="Arial" w:hAnsi="Arial" w:cs="Arial"/>
                <w:sz w:val="22"/>
                <w:szCs w:val="22"/>
              </w:rPr>
              <w:t>12,501 to 50,000</w:t>
            </w:r>
          </w:p>
        </w:tc>
      </w:tr>
      <w:tr w:rsidR="006D4580" w:rsidRPr="00A85E8F" w14:paraId="270009C1" w14:textId="77777777" w:rsidTr="00E27F90">
        <w:trPr>
          <w:gridAfter w:val="2"/>
          <w:wAfter w:w="3970" w:type="dxa"/>
          <w:trHeight w:val="255"/>
        </w:trPr>
        <w:tc>
          <w:tcPr>
            <w:tcW w:w="5969" w:type="dxa"/>
            <w:noWrap/>
            <w:vAlign w:val="bottom"/>
          </w:tcPr>
          <w:p w14:paraId="116F6643" w14:textId="77777777" w:rsidR="006D4580" w:rsidRPr="00A85E8F" w:rsidRDefault="006D4580" w:rsidP="00AF44C6">
            <w:pPr>
              <w:rPr>
                <w:rFonts w:ascii="Arial" w:hAnsi="Arial" w:cs="Arial"/>
                <w:sz w:val="22"/>
                <w:szCs w:val="22"/>
                <w:lang w:eastAsia="en-GB"/>
              </w:rPr>
            </w:pPr>
            <w:r w:rsidRPr="00A85E8F">
              <w:rPr>
                <w:rFonts w:ascii="Arial" w:hAnsi="Arial" w:cs="Arial"/>
                <w:sz w:val="22"/>
                <w:szCs w:val="22"/>
                <w:lang w:eastAsia="en-GB"/>
              </w:rPr>
              <w:t>40% higher rate tax</w:t>
            </w:r>
          </w:p>
        </w:tc>
        <w:tc>
          <w:tcPr>
            <w:tcW w:w="1985" w:type="dxa"/>
            <w:noWrap/>
            <w:vAlign w:val="bottom"/>
          </w:tcPr>
          <w:p w14:paraId="79B2D22E" w14:textId="77777777" w:rsidR="006D4580" w:rsidRPr="00A85E8F" w:rsidRDefault="002D1E66" w:rsidP="00AF44C6">
            <w:pPr>
              <w:jc w:val="center"/>
              <w:rPr>
                <w:rFonts w:ascii="Arial" w:hAnsi="Arial" w:cs="Arial"/>
                <w:sz w:val="22"/>
                <w:szCs w:val="22"/>
              </w:rPr>
            </w:pPr>
            <w:r w:rsidRPr="00A85E8F">
              <w:rPr>
                <w:rFonts w:ascii="Arial" w:hAnsi="Arial" w:cs="Arial"/>
                <w:sz w:val="22"/>
                <w:szCs w:val="22"/>
              </w:rPr>
              <w:t>50,001 to 150,000</w:t>
            </w:r>
          </w:p>
        </w:tc>
        <w:tc>
          <w:tcPr>
            <w:tcW w:w="1985" w:type="dxa"/>
            <w:noWrap/>
            <w:vAlign w:val="bottom"/>
          </w:tcPr>
          <w:p w14:paraId="5C36379B" w14:textId="1D47B343" w:rsidR="006D4580" w:rsidRPr="00A85E8F" w:rsidRDefault="004F7482" w:rsidP="00AF44C6">
            <w:pPr>
              <w:jc w:val="center"/>
              <w:rPr>
                <w:rFonts w:ascii="Arial" w:hAnsi="Arial" w:cs="Arial"/>
                <w:sz w:val="22"/>
                <w:szCs w:val="22"/>
              </w:rPr>
            </w:pPr>
            <w:r w:rsidRPr="00A85E8F">
              <w:rPr>
                <w:rFonts w:ascii="Arial" w:hAnsi="Arial" w:cs="Arial"/>
                <w:sz w:val="22"/>
                <w:szCs w:val="22"/>
              </w:rPr>
              <w:t>50,001 to 150,000</w:t>
            </w:r>
          </w:p>
        </w:tc>
      </w:tr>
      <w:tr w:rsidR="006D4580" w:rsidRPr="00A85E8F" w14:paraId="27FC6428" w14:textId="77777777" w:rsidTr="00E27F90">
        <w:trPr>
          <w:gridAfter w:val="2"/>
          <w:wAfter w:w="3970" w:type="dxa"/>
          <w:trHeight w:val="255"/>
        </w:trPr>
        <w:tc>
          <w:tcPr>
            <w:tcW w:w="5969" w:type="dxa"/>
            <w:noWrap/>
            <w:vAlign w:val="bottom"/>
          </w:tcPr>
          <w:p w14:paraId="4782FFCA" w14:textId="77777777" w:rsidR="006D4580" w:rsidRPr="00A85E8F" w:rsidRDefault="006D4580" w:rsidP="00AF44C6">
            <w:pPr>
              <w:rPr>
                <w:rFonts w:ascii="Arial" w:hAnsi="Arial" w:cs="Arial"/>
                <w:sz w:val="22"/>
                <w:szCs w:val="22"/>
                <w:lang w:eastAsia="en-GB"/>
              </w:rPr>
            </w:pPr>
            <w:r w:rsidRPr="00A85E8F">
              <w:rPr>
                <w:rFonts w:ascii="Arial" w:hAnsi="Arial" w:cs="Arial"/>
                <w:sz w:val="22"/>
                <w:szCs w:val="22"/>
                <w:lang w:eastAsia="en-GB"/>
              </w:rPr>
              <w:t>45% additional rate tax</w:t>
            </w:r>
          </w:p>
        </w:tc>
        <w:tc>
          <w:tcPr>
            <w:tcW w:w="1985" w:type="dxa"/>
            <w:noWrap/>
            <w:vAlign w:val="bottom"/>
          </w:tcPr>
          <w:p w14:paraId="079BB796" w14:textId="77777777" w:rsidR="006D4580" w:rsidRPr="00A85E8F" w:rsidRDefault="002D1E66" w:rsidP="00AF44C6">
            <w:pPr>
              <w:jc w:val="center"/>
              <w:rPr>
                <w:rFonts w:ascii="Arial" w:hAnsi="Arial" w:cs="Arial"/>
                <w:sz w:val="22"/>
                <w:szCs w:val="22"/>
              </w:rPr>
            </w:pPr>
            <w:r w:rsidRPr="00A85E8F">
              <w:rPr>
                <w:rFonts w:ascii="Arial" w:hAnsi="Arial" w:cs="Arial"/>
                <w:sz w:val="22"/>
                <w:szCs w:val="22"/>
              </w:rPr>
              <w:t>Above 150,000</w:t>
            </w:r>
          </w:p>
        </w:tc>
        <w:tc>
          <w:tcPr>
            <w:tcW w:w="1985" w:type="dxa"/>
            <w:noWrap/>
            <w:vAlign w:val="bottom"/>
          </w:tcPr>
          <w:p w14:paraId="7BDEA8BD" w14:textId="2FE85D4A" w:rsidR="006D4580" w:rsidRPr="00A85E8F" w:rsidRDefault="004F7482" w:rsidP="00AF44C6">
            <w:pPr>
              <w:jc w:val="center"/>
              <w:rPr>
                <w:rFonts w:ascii="Arial" w:hAnsi="Arial" w:cs="Arial"/>
                <w:sz w:val="22"/>
                <w:szCs w:val="22"/>
              </w:rPr>
            </w:pPr>
            <w:r w:rsidRPr="00A85E8F">
              <w:rPr>
                <w:rFonts w:ascii="Arial" w:hAnsi="Arial" w:cs="Arial"/>
                <w:sz w:val="22"/>
                <w:szCs w:val="22"/>
              </w:rPr>
              <w:t>Above 150,000</w:t>
            </w:r>
          </w:p>
        </w:tc>
      </w:tr>
      <w:tr w:rsidR="00AF44C6" w:rsidRPr="00A85E8F" w14:paraId="100E37B6" w14:textId="77777777" w:rsidTr="00E27F90">
        <w:trPr>
          <w:gridAfter w:val="2"/>
          <w:wAfter w:w="3970" w:type="dxa"/>
          <w:trHeight w:val="255"/>
        </w:trPr>
        <w:tc>
          <w:tcPr>
            <w:tcW w:w="9939" w:type="dxa"/>
            <w:gridSpan w:val="3"/>
            <w:shd w:val="clear" w:color="auto" w:fill="D9D9D9"/>
            <w:noWrap/>
            <w:vAlign w:val="bottom"/>
          </w:tcPr>
          <w:p w14:paraId="189B1200" w14:textId="77777777" w:rsidR="00AF44C6" w:rsidRPr="00A85E8F" w:rsidRDefault="00AF44C6" w:rsidP="00AF44C6">
            <w:pPr>
              <w:rPr>
                <w:rFonts w:ascii="Arial" w:hAnsi="Arial" w:cs="Arial"/>
                <w:sz w:val="22"/>
                <w:szCs w:val="22"/>
                <w:lang w:eastAsia="en-GB"/>
              </w:rPr>
            </w:pPr>
            <w:r w:rsidRPr="00A85E8F">
              <w:rPr>
                <w:rFonts w:ascii="Arial" w:hAnsi="Arial" w:cs="Arial"/>
                <w:b/>
                <w:bCs/>
                <w:sz w:val="22"/>
                <w:szCs w:val="22"/>
                <w:lang w:eastAsia="en-GB"/>
              </w:rPr>
              <w:t>Scottish Income tax rates - (non-dividend income)</w:t>
            </w:r>
          </w:p>
        </w:tc>
      </w:tr>
      <w:tr w:rsidR="00E27F90" w:rsidRPr="00A85E8F" w14:paraId="548FCDE3" w14:textId="3F922173" w:rsidTr="000029D3">
        <w:trPr>
          <w:gridAfter w:val="2"/>
          <w:wAfter w:w="3970" w:type="dxa"/>
          <w:trHeight w:val="255"/>
        </w:trPr>
        <w:tc>
          <w:tcPr>
            <w:tcW w:w="5969" w:type="dxa"/>
            <w:noWrap/>
            <w:vAlign w:val="bottom"/>
          </w:tcPr>
          <w:p w14:paraId="0C7BECF4" w14:textId="77777777" w:rsidR="00E27F90" w:rsidRPr="00A85E8F" w:rsidRDefault="00E27F90" w:rsidP="00E27F90">
            <w:pPr>
              <w:rPr>
                <w:rFonts w:ascii="Arial" w:hAnsi="Arial" w:cs="Arial"/>
                <w:sz w:val="22"/>
                <w:szCs w:val="22"/>
                <w:lang w:eastAsia="en-GB"/>
              </w:rPr>
            </w:pPr>
            <w:r w:rsidRPr="00A85E8F">
              <w:rPr>
                <w:rFonts w:ascii="Arial" w:hAnsi="Arial" w:cs="Arial"/>
                <w:sz w:val="22"/>
                <w:szCs w:val="22"/>
                <w:lang w:eastAsia="en-GB"/>
              </w:rPr>
              <w:t>19% starting rate tax</w:t>
            </w:r>
          </w:p>
        </w:tc>
        <w:tc>
          <w:tcPr>
            <w:tcW w:w="1985" w:type="dxa"/>
            <w:noWrap/>
            <w:vAlign w:val="bottom"/>
          </w:tcPr>
          <w:p w14:paraId="2C159F5F" w14:textId="5B355C54" w:rsidR="00E27F90" w:rsidRPr="00A85E8F" w:rsidRDefault="004F7482" w:rsidP="00E27F90">
            <w:pPr>
              <w:jc w:val="center"/>
              <w:rPr>
                <w:rFonts w:ascii="Arial" w:hAnsi="Arial" w:cs="Arial"/>
                <w:sz w:val="22"/>
                <w:szCs w:val="22"/>
              </w:rPr>
            </w:pPr>
            <w:r>
              <w:rPr>
                <w:rFonts w:ascii="Arial" w:hAnsi="Arial" w:cs="Arial"/>
                <w:sz w:val="22"/>
                <w:szCs w:val="22"/>
              </w:rPr>
              <w:t>12,501 to 14,549</w:t>
            </w:r>
          </w:p>
        </w:tc>
        <w:tc>
          <w:tcPr>
            <w:tcW w:w="1985" w:type="dxa"/>
            <w:vAlign w:val="bottom"/>
          </w:tcPr>
          <w:p w14:paraId="6419FCE3" w14:textId="4CE56131" w:rsidR="00E27F90" w:rsidRPr="00AA41BF" w:rsidRDefault="004F7482" w:rsidP="00AA41BF">
            <w:pPr>
              <w:jc w:val="center"/>
              <w:rPr>
                <w:rFonts w:ascii="Arial" w:hAnsi="Arial" w:cs="Arial"/>
                <w:sz w:val="22"/>
                <w:szCs w:val="22"/>
              </w:rPr>
            </w:pPr>
            <w:r w:rsidRPr="00AA41BF">
              <w:rPr>
                <w:rFonts w:ascii="Arial" w:hAnsi="Arial" w:cs="Arial"/>
                <w:sz w:val="22"/>
                <w:szCs w:val="22"/>
              </w:rPr>
              <w:t>12,501 to 14,585</w:t>
            </w:r>
          </w:p>
        </w:tc>
      </w:tr>
      <w:tr w:rsidR="00E27F90" w:rsidRPr="00A85E8F" w14:paraId="5C573FCB" w14:textId="54076E93" w:rsidTr="000029D3">
        <w:trPr>
          <w:gridAfter w:val="2"/>
          <w:wAfter w:w="3970" w:type="dxa"/>
          <w:trHeight w:val="255"/>
        </w:trPr>
        <w:tc>
          <w:tcPr>
            <w:tcW w:w="5969" w:type="dxa"/>
            <w:noWrap/>
            <w:vAlign w:val="bottom"/>
          </w:tcPr>
          <w:p w14:paraId="2BDA5728" w14:textId="77777777" w:rsidR="00E27F90" w:rsidRPr="00A85E8F" w:rsidRDefault="00E27F90" w:rsidP="00E27F90">
            <w:pPr>
              <w:rPr>
                <w:rFonts w:ascii="Arial" w:hAnsi="Arial" w:cs="Arial"/>
                <w:sz w:val="22"/>
                <w:szCs w:val="22"/>
                <w:lang w:eastAsia="en-GB"/>
              </w:rPr>
            </w:pPr>
            <w:r w:rsidRPr="00A85E8F">
              <w:rPr>
                <w:rFonts w:ascii="Arial" w:hAnsi="Arial" w:cs="Arial"/>
                <w:sz w:val="22"/>
                <w:szCs w:val="22"/>
                <w:lang w:eastAsia="en-GB"/>
              </w:rPr>
              <w:t>20% basic rate tax</w:t>
            </w:r>
          </w:p>
        </w:tc>
        <w:tc>
          <w:tcPr>
            <w:tcW w:w="1985" w:type="dxa"/>
            <w:noWrap/>
            <w:vAlign w:val="bottom"/>
          </w:tcPr>
          <w:p w14:paraId="435CDB56" w14:textId="20AEB0B6" w:rsidR="00E27F90" w:rsidRPr="00A85E8F" w:rsidRDefault="004F7482" w:rsidP="00E27F90">
            <w:pPr>
              <w:jc w:val="center"/>
              <w:rPr>
                <w:rFonts w:ascii="Arial" w:hAnsi="Arial" w:cs="Arial"/>
                <w:sz w:val="22"/>
                <w:szCs w:val="22"/>
              </w:rPr>
            </w:pPr>
            <w:r>
              <w:rPr>
                <w:rFonts w:ascii="Arial" w:hAnsi="Arial" w:cs="Arial"/>
                <w:sz w:val="22"/>
                <w:szCs w:val="22"/>
              </w:rPr>
              <w:t>14,550 to 24,944</w:t>
            </w:r>
          </w:p>
        </w:tc>
        <w:tc>
          <w:tcPr>
            <w:tcW w:w="1985" w:type="dxa"/>
            <w:vAlign w:val="bottom"/>
          </w:tcPr>
          <w:p w14:paraId="3C29DCA3" w14:textId="4FCB5349" w:rsidR="00E27F90" w:rsidRPr="00AA41BF" w:rsidRDefault="004F7482" w:rsidP="00AA41BF">
            <w:pPr>
              <w:jc w:val="center"/>
              <w:rPr>
                <w:rFonts w:ascii="Arial" w:hAnsi="Arial" w:cs="Arial"/>
                <w:sz w:val="22"/>
                <w:szCs w:val="22"/>
              </w:rPr>
            </w:pPr>
            <w:r w:rsidRPr="00AA41BF">
              <w:rPr>
                <w:rFonts w:ascii="Arial" w:hAnsi="Arial" w:cs="Arial"/>
                <w:sz w:val="22"/>
                <w:szCs w:val="22"/>
              </w:rPr>
              <w:t>14,586 to 25,158</w:t>
            </w:r>
          </w:p>
        </w:tc>
      </w:tr>
      <w:tr w:rsidR="00E27F90" w:rsidRPr="00A85E8F" w14:paraId="694BE653" w14:textId="2D022DE3" w:rsidTr="000029D3">
        <w:trPr>
          <w:gridAfter w:val="2"/>
          <w:wAfter w:w="3970" w:type="dxa"/>
          <w:trHeight w:val="255"/>
        </w:trPr>
        <w:tc>
          <w:tcPr>
            <w:tcW w:w="5969" w:type="dxa"/>
            <w:noWrap/>
            <w:vAlign w:val="bottom"/>
          </w:tcPr>
          <w:p w14:paraId="1A372883" w14:textId="77777777" w:rsidR="00E27F90" w:rsidRPr="00A85E8F" w:rsidRDefault="00E27F90" w:rsidP="00E27F90">
            <w:pPr>
              <w:rPr>
                <w:rFonts w:ascii="Arial" w:hAnsi="Arial" w:cs="Arial"/>
                <w:sz w:val="22"/>
                <w:szCs w:val="22"/>
                <w:lang w:eastAsia="en-GB"/>
              </w:rPr>
            </w:pPr>
            <w:r w:rsidRPr="00A85E8F">
              <w:rPr>
                <w:rFonts w:ascii="Arial" w:hAnsi="Arial" w:cs="Arial"/>
                <w:sz w:val="22"/>
                <w:szCs w:val="22"/>
                <w:lang w:eastAsia="en-GB"/>
              </w:rPr>
              <w:t>21% intermediate rate tax</w:t>
            </w:r>
          </w:p>
        </w:tc>
        <w:tc>
          <w:tcPr>
            <w:tcW w:w="1985" w:type="dxa"/>
            <w:noWrap/>
            <w:vAlign w:val="bottom"/>
          </w:tcPr>
          <w:p w14:paraId="6BBDBEC1" w14:textId="09A57D61" w:rsidR="00E27F90" w:rsidRPr="00A85E8F" w:rsidRDefault="004F7482" w:rsidP="00E27F90">
            <w:pPr>
              <w:jc w:val="center"/>
              <w:rPr>
                <w:rFonts w:ascii="Arial" w:hAnsi="Arial" w:cs="Arial"/>
                <w:sz w:val="22"/>
                <w:szCs w:val="22"/>
              </w:rPr>
            </w:pPr>
            <w:r>
              <w:rPr>
                <w:rFonts w:ascii="Arial" w:hAnsi="Arial" w:cs="Arial"/>
                <w:sz w:val="22"/>
                <w:szCs w:val="22"/>
              </w:rPr>
              <w:t>29,945 to 43,430</w:t>
            </w:r>
          </w:p>
        </w:tc>
        <w:tc>
          <w:tcPr>
            <w:tcW w:w="1985" w:type="dxa"/>
            <w:vAlign w:val="bottom"/>
          </w:tcPr>
          <w:p w14:paraId="47A71AAE" w14:textId="4D906700" w:rsidR="00E27F90" w:rsidRPr="00AA41BF" w:rsidRDefault="004F7482" w:rsidP="00AA41BF">
            <w:pPr>
              <w:jc w:val="center"/>
              <w:rPr>
                <w:rFonts w:ascii="Arial" w:hAnsi="Arial" w:cs="Arial"/>
                <w:sz w:val="22"/>
                <w:szCs w:val="22"/>
              </w:rPr>
            </w:pPr>
            <w:r w:rsidRPr="00AA41BF">
              <w:rPr>
                <w:rFonts w:ascii="Arial" w:hAnsi="Arial" w:cs="Arial"/>
                <w:sz w:val="22"/>
                <w:szCs w:val="22"/>
              </w:rPr>
              <w:t>25,159 to 43,430</w:t>
            </w:r>
          </w:p>
        </w:tc>
      </w:tr>
      <w:tr w:rsidR="00E27F90" w:rsidRPr="00A85E8F" w14:paraId="0F396EFE" w14:textId="24941059" w:rsidTr="00E27F90">
        <w:trPr>
          <w:gridAfter w:val="2"/>
          <w:wAfter w:w="3970" w:type="dxa"/>
          <w:trHeight w:val="255"/>
        </w:trPr>
        <w:tc>
          <w:tcPr>
            <w:tcW w:w="5969" w:type="dxa"/>
            <w:noWrap/>
            <w:vAlign w:val="bottom"/>
          </w:tcPr>
          <w:p w14:paraId="1FCFF3DE" w14:textId="77777777" w:rsidR="00E27F90" w:rsidRPr="00A85E8F" w:rsidRDefault="00E27F90" w:rsidP="00E27F90">
            <w:pPr>
              <w:rPr>
                <w:rFonts w:ascii="Arial" w:hAnsi="Arial" w:cs="Arial"/>
                <w:sz w:val="22"/>
                <w:szCs w:val="22"/>
                <w:lang w:eastAsia="en-GB"/>
              </w:rPr>
            </w:pPr>
            <w:r w:rsidRPr="00A85E8F">
              <w:rPr>
                <w:rFonts w:ascii="Arial" w:hAnsi="Arial" w:cs="Arial"/>
                <w:sz w:val="22"/>
                <w:szCs w:val="22"/>
                <w:lang w:eastAsia="en-GB"/>
              </w:rPr>
              <w:t>41% higher rate tax</w:t>
            </w:r>
          </w:p>
        </w:tc>
        <w:tc>
          <w:tcPr>
            <w:tcW w:w="1985" w:type="dxa"/>
            <w:noWrap/>
            <w:vAlign w:val="bottom"/>
          </w:tcPr>
          <w:p w14:paraId="1D4F88A2" w14:textId="698AF670" w:rsidR="00E27F90" w:rsidRPr="00A85E8F" w:rsidRDefault="004F7482" w:rsidP="00E27F90">
            <w:pPr>
              <w:jc w:val="center"/>
              <w:rPr>
                <w:rFonts w:ascii="Arial" w:hAnsi="Arial" w:cs="Arial"/>
                <w:sz w:val="22"/>
                <w:szCs w:val="22"/>
              </w:rPr>
            </w:pPr>
            <w:r>
              <w:rPr>
                <w:rFonts w:ascii="Arial" w:hAnsi="Arial" w:cs="Arial"/>
                <w:sz w:val="22"/>
                <w:szCs w:val="22"/>
              </w:rPr>
              <w:t>43,431 to 150,000</w:t>
            </w:r>
          </w:p>
        </w:tc>
        <w:tc>
          <w:tcPr>
            <w:tcW w:w="1985" w:type="dxa"/>
            <w:vAlign w:val="bottom"/>
          </w:tcPr>
          <w:p w14:paraId="5F43EE56" w14:textId="66D4620B" w:rsidR="00E27F90" w:rsidRPr="00AA41BF" w:rsidRDefault="004F7482" w:rsidP="00AA41BF">
            <w:pPr>
              <w:jc w:val="center"/>
              <w:rPr>
                <w:rFonts w:ascii="Arial" w:hAnsi="Arial" w:cs="Arial"/>
                <w:sz w:val="22"/>
                <w:szCs w:val="22"/>
              </w:rPr>
            </w:pPr>
            <w:r w:rsidRPr="00AA41BF">
              <w:rPr>
                <w:rFonts w:ascii="Arial" w:hAnsi="Arial" w:cs="Arial"/>
                <w:sz w:val="22"/>
                <w:szCs w:val="22"/>
              </w:rPr>
              <w:t>43,431 to 150,000</w:t>
            </w:r>
          </w:p>
        </w:tc>
      </w:tr>
      <w:tr w:rsidR="00E27F90" w:rsidRPr="00A85E8F" w14:paraId="596B8EB6" w14:textId="4C1B486F" w:rsidTr="00E27F90">
        <w:trPr>
          <w:gridAfter w:val="2"/>
          <w:wAfter w:w="3970" w:type="dxa"/>
          <w:trHeight w:val="255"/>
        </w:trPr>
        <w:tc>
          <w:tcPr>
            <w:tcW w:w="5969" w:type="dxa"/>
            <w:noWrap/>
            <w:vAlign w:val="bottom"/>
          </w:tcPr>
          <w:p w14:paraId="2963CC55" w14:textId="77777777" w:rsidR="00E27F90" w:rsidRPr="00A85E8F" w:rsidRDefault="00E27F90" w:rsidP="00E27F90">
            <w:pPr>
              <w:rPr>
                <w:rFonts w:ascii="Arial" w:hAnsi="Arial" w:cs="Arial"/>
                <w:sz w:val="22"/>
                <w:szCs w:val="22"/>
                <w:lang w:eastAsia="en-GB"/>
              </w:rPr>
            </w:pPr>
            <w:r w:rsidRPr="00A85E8F">
              <w:rPr>
                <w:rFonts w:ascii="Arial" w:hAnsi="Arial" w:cs="Arial"/>
                <w:sz w:val="22"/>
                <w:szCs w:val="22"/>
                <w:lang w:eastAsia="en-GB"/>
              </w:rPr>
              <w:t>46% top rate</w:t>
            </w:r>
          </w:p>
        </w:tc>
        <w:tc>
          <w:tcPr>
            <w:tcW w:w="1985" w:type="dxa"/>
            <w:noWrap/>
            <w:vAlign w:val="bottom"/>
          </w:tcPr>
          <w:p w14:paraId="1FBAB983" w14:textId="682FCD6C" w:rsidR="00E27F90" w:rsidRPr="00A85E8F" w:rsidRDefault="004F7482" w:rsidP="00E27F90">
            <w:pPr>
              <w:jc w:val="center"/>
              <w:rPr>
                <w:rFonts w:ascii="Arial" w:hAnsi="Arial" w:cs="Arial"/>
                <w:sz w:val="22"/>
                <w:szCs w:val="22"/>
              </w:rPr>
            </w:pPr>
            <w:r>
              <w:rPr>
                <w:rFonts w:ascii="Arial" w:hAnsi="Arial" w:cs="Arial"/>
                <w:sz w:val="22"/>
                <w:szCs w:val="22"/>
              </w:rPr>
              <w:t>Above 150,000</w:t>
            </w:r>
          </w:p>
        </w:tc>
        <w:tc>
          <w:tcPr>
            <w:tcW w:w="1985" w:type="dxa"/>
            <w:vAlign w:val="bottom"/>
          </w:tcPr>
          <w:p w14:paraId="4DB6B971" w14:textId="2A21459F" w:rsidR="00E27F90" w:rsidRPr="00AA41BF" w:rsidRDefault="004F7482" w:rsidP="00AA41BF">
            <w:pPr>
              <w:jc w:val="center"/>
              <w:rPr>
                <w:rFonts w:ascii="Arial" w:hAnsi="Arial" w:cs="Arial"/>
                <w:sz w:val="22"/>
                <w:szCs w:val="22"/>
              </w:rPr>
            </w:pPr>
            <w:r w:rsidRPr="00AA41BF">
              <w:rPr>
                <w:rFonts w:ascii="Arial" w:hAnsi="Arial" w:cs="Arial"/>
                <w:sz w:val="22"/>
                <w:szCs w:val="22"/>
              </w:rPr>
              <w:t>Above 150,000</w:t>
            </w:r>
          </w:p>
        </w:tc>
      </w:tr>
      <w:tr w:rsidR="00E27F90" w:rsidRPr="00A85E8F" w14:paraId="7CEF2670" w14:textId="75F50C33" w:rsidTr="00E27F90">
        <w:trPr>
          <w:trHeight w:val="255"/>
        </w:trPr>
        <w:tc>
          <w:tcPr>
            <w:tcW w:w="9939" w:type="dxa"/>
            <w:gridSpan w:val="3"/>
            <w:shd w:val="clear" w:color="auto" w:fill="D9D9D9"/>
            <w:noWrap/>
            <w:vAlign w:val="bottom"/>
          </w:tcPr>
          <w:p w14:paraId="0E4EB7D5" w14:textId="77777777" w:rsidR="00E27F90" w:rsidRPr="00A85E8F" w:rsidRDefault="00E27F90" w:rsidP="00E27F90">
            <w:pPr>
              <w:rPr>
                <w:rFonts w:ascii="Arial" w:hAnsi="Arial" w:cs="Arial"/>
                <w:sz w:val="22"/>
                <w:szCs w:val="22"/>
                <w:lang w:eastAsia="en-GB"/>
              </w:rPr>
            </w:pPr>
            <w:r w:rsidRPr="00A85E8F">
              <w:rPr>
                <w:rFonts w:ascii="Arial" w:hAnsi="Arial" w:cs="Arial"/>
                <w:b/>
                <w:bCs/>
                <w:sz w:val="22"/>
                <w:szCs w:val="22"/>
                <w:lang w:eastAsia="en-GB"/>
              </w:rPr>
              <w:t>Personal allowance</w:t>
            </w:r>
          </w:p>
        </w:tc>
        <w:tc>
          <w:tcPr>
            <w:tcW w:w="1985" w:type="dxa"/>
          </w:tcPr>
          <w:p w14:paraId="54E1ECCC" w14:textId="77777777" w:rsidR="00E27F90" w:rsidRPr="00A85E8F" w:rsidRDefault="00E27F90" w:rsidP="00E27F90"/>
        </w:tc>
        <w:tc>
          <w:tcPr>
            <w:tcW w:w="1985" w:type="dxa"/>
            <w:vAlign w:val="bottom"/>
          </w:tcPr>
          <w:p w14:paraId="7A463A14" w14:textId="77777777" w:rsidR="00E27F90" w:rsidRPr="00A85E8F" w:rsidRDefault="00E27F90" w:rsidP="00E27F90"/>
        </w:tc>
      </w:tr>
      <w:tr w:rsidR="00E27F90" w:rsidRPr="00A85E8F" w14:paraId="39EC9122" w14:textId="77777777" w:rsidTr="00E27F90">
        <w:trPr>
          <w:gridAfter w:val="2"/>
          <w:wAfter w:w="3970" w:type="dxa"/>
          <w:trHeight w:val="255"/>
        </w:trPr>
        <w:tc>
          <w:tcPr>
            <w:tcW w:w="5969" w:type="dxa"/>
            <w:noWrap/>
            <w:vAlign w:val="bottom"/>
          </w:tcPr>
          <w:p w14:paraId="7DA2A280" w14:textId="77777777" w:rsidR="00E27F90" w:rsidRPr="00A85E8F" w:rsidRDefault="00E27F90" w:rsidP="00E27F90">
            <w:pPr>
              <w:rPr>
                <w:rFonts w:ascii="Arial" w:hAnsi="Arial" w:cs="Arial"/>
                <w:sz w:val="22"/>
                <w:szCs w:val="22"/>
              </w:rPr>
            </w:pPr>
            <w:r w:rsidRPr="00A85E8F">
              <w:rPr>
                <w:rFonts w:ascii="Arial" w:hAnsi="Arial" w:cs="Arial"/>
                <w:sz w:val="22"/>
                <w:szCs w:val="22"/>
              </w:rPr>
              <w:t xml:space="preserve">Personal allowance </w:t>
            </w:r>
          </w:p>
        </w:tc>
        <w:tc>
          <w:tcPr>
            <w:tcW w:w="1985" w:type="dxa"/>
            <w:noWrap/>
            <w:vAlign w:val="bottom"/>
          </w:tcPr>
          <w:p w14:paraId="6341069A" w14:textId="77777777" w:rsidR="00E27F90" w:rsidRPr="00A85E8F" w:rsidRDefault="00E27F90" w:rsidP="00E27F90">
            <w:pPr>
              <w:jc w:val="center"/>
              <w:rPr>
                <w:rFonts w:ascii="Arial" w:hAnsi="Arial" w:cs="Arial"/>
                <w:sz w:val="22"/>
                <w:szCs w:val="22"/>
              </w:rPr>
            </w:pPr>
            <w:r w:rsidRPr="00A85E8F">
              <w:rPr>
                <w:rFonts w:ascii="Arial" w:hAnsi="Arial" w:cs="Arial"/>
                <w:sz w:val="22"/>
                <w:szCs w:val="22"/>
              </w:rPr>
              <w:t>12,500</w:t>
            </w:r>
          </w:p>
        </w:tc>
        <w:tc>
          <w:tcPr>
            <w:tcW w:w="1985" w:type="dxa"/>
            <w:noWrap/>
            <w:vAlign w:val="bottom"/>
          </w:tcPr>
          <w:p w14:paraId="50A736C2" w14:textId="534C30A9" w:rsidR="00E27F90" w:rsidRPr="00A85E8F" w:rsidRDefault="004F7482" w:rsidP="00E27F90">
            <w:pPr>
              <w:jc w:val="center"/>
              <w:rPr>
                <w:rFonts w:ascii="Arial" w:hAnsi="Arial" w:cs="Arial"/>
                <w:sz w:val="22"/>
                <w:szCs w:val="22"/>
              </w:rPr>
            </w:pPr>
            <w:r>
              <w:rPr>
                <w:rFonts w:ascii="Arial" w:hAnsi="Arial" w:cs="Arial"/>
                <w:sz w:val="22"/>
                <w:szCs w:val="22"/>
              </w:rPr>
              <w:t>12,500</w:t>
            </w:r>
          </w:p>
        </w:tc>
      </w:tr>
      <w:tr w:rsidR="00E27F90" w:rsidRPr="00A85E8F" w14:paraId="307E91CD" w14:textId="77777777" w:rsidTr="00E27F90">
        <w:trPr>
          <w:gridAfter w:val="2"/>
          <w:wAfter w:w="3970" w:type="dxa"/>
          <w:trHeight w:val="255"/>
        </w:trPr>
        <w:tc>
          <w:tcPr>
            <w:tcW w:w="5969" w:type="dxa"/>
            <w:noWrap/>
            <w:vAlign w:val="bottom"/>
          </w:tcPr>
          <w:p w14:paraId="4EC3EE2A" w14:textId="77777777" w:rsidR="00E27F90" w:rsidRPr="00A85E8F" w:rsidRDefault="00E27F90" w:rsidP="00E27F90">
            <w:pPr>
              <w:rPr>
                <w:rFonts w:ascii="Arial" w:hAnsi="Arial" w:cs="Arial"/>
                <w:sz w:val="22"/>
                <w:szCs w:val="22"/>
              </w:rPr>
            </w:pPr>
          </w:p>
        </w:tc>
        <w:tc>
          <w:tcPr>
            <w:tcW w:w="1985" w:type="dxa"/>
            <w:noWrap/>
            <w:vAlign w:val="bottom"/>
          </w:tcPr>
          <w:p w14:paraId="4D949E51" w14:textId="77777777" w:rsidR="00E27F90" w:rsidRPr="00A85E8F" w:rsidRDefault="00E27F90" w:rsidP="00E27F90">
            <w:pPr>
              <w:jc w:val="center"/>
              <w:rPr>
                <w:rFonts w:ascii="Arial" w:hAnsi="Arial" w:cs="Arial"/>
                <w:sz w:val="22"/>
                <w:szCs w:val="22"/>
              </w:rPr>
            </w:pPr>
          </w:p>
        </w:tc>
        <w:tc>
          <w:tcPr>
            <w:tcW w:w="1985" w:type="dxa"/>
            <w:noWrap/>
            <w:vAlign w:val="bottom"/>
          </w:tcPr>
          <w:p w14:paraId="598A7A31" w14:textId="77777777" w:rsidR="00E27F90" w:rsidRPr="00A85E8F" w:rsidRDefault="00E27F90" w:rsidP="00E27F90">
            <w:pPr>
              <w:jc w:val="center"/>
              <w:rPr>
                <w:rFonts w:ascii="Arial" w:hAnsi="Arial" w:cs="Arial"/>
                <w:sz w:val="22"/>
                <w:szCs w:val="22"/>
              </w:rPr>
            </w:pPr>
          </w:p>
        </w:tc>
      </w:tr>
    </w:tbl>
    <w:p w14:paraId="4388AB54" w14:textId="77777777" w:rsidR="006D4580" w:rsidRPr="00A85E8F" w:rsidRDefault="006D4580" w:rsidP="00845527">
      <w:pPr>
        <w:rPr>
          <w:rFonts w:ascii="Arial" w:hAnsi="Arial" w:cs="Arial"/>
          <w:sz w:val="22"/>
          <w:szCs w:val="22"/>
        </w:rPr>
      </w:pPr>
    </w:p>
    <w:p w14:paraId="0356265B" w14:textId="77777777" w:rsidR="00010DA1" w:rsidRPr="00A85E8F" w:rsidRDefault="00010DA1" w:rsidP="00010DA1">
      <w:pPr>
        <w:rPr>
          <w:rFonts w:ascii="Arial" w:hAnsi="Arial" w:cs="Arial"/>
          <w:color w:val="000000"/>
          <w:sz w:val="22"/>
          <w:szCs w:val="22"/>
        </w:rPr>
      </w:pPr>
    </w:p>
    <w:p w14:paraId="1B0A1241" w14:textId="78D2F0F6" w:rsidR="004E53C7" w:rsidRPr="00A85E8F" w:rsidRDefault="004E53C7">
      <w:pPr>
        <w:rPr>
          <w:rFonts w:ascii="Arial" w:hAnsi="Arial" w:cs="Arial"/>
          <w:b/>
          <w:bCs/>
          <w:sz w:val="22"/>
          <w:szCs w:val="22"/>
        </w:rPr>
      </w:pPr>
    </w:p>
    <w:p w14:paraId="6C6B0CFF" w14:textId="77777777" w:rsidR="00010DA1" w:rsidRPr="00A85E8F" w:rsidRDefault="00010DA1" w:rsidP="004E53C7">
      <w:pPr>
        <w:rPr>
          <w:rFonts w:ascii="Arial" w:hAnsi="Arial" w:cs="Arial"/>
          <w:b/>
          <w:bCs/>
          <w:sz w:val="22"/>
          <w:szCs w:val="22"/>
        </w:rPr>
      </w:pPr>
      <w:r w:rsidRPr="00A85E8F">
        <w:rPr>
          <w:rFonts w:ascii="Arial" w:hAnsi="Arial" w:cs="Arial"/>
          <w:b/>
          <w:bCs/>
          <w:sz w:val="22"/>
          <w:szCs w:val="22"/>
        </w:rPr>
        <w:t xml:space="preserve">Dividend </w:t>
      </w:r>
      <w:r w:rsidR="004E53C7" w:rsidRPr="00A85E8F">
        <w:rPr>
          <w:rFonts w:ascii="Arial" w:hAnsi="Arial" w:cs="Arial"/>
          <w:b/>
          <w:bCs/>
          <w:sz w:val="22"/>
          <w:szCs w:val="22"/>
        </w:rPr>
        <w:t>a</w:t>
      </w:r>
      <w:r w:rsidRPr="00A85E8F">
        <w:rPr>
          <w:rFonts w:ascii="Arial" w:hAnsi="Arial" w:cs="Arial"/>
          <w:b/>
          <w:bCs/>
          <w:sz w:val="22"/>
          <w:szCs w:val="22"/>
        </w:rPr>
        <w:t>llowance</w:t>
      </w:r>
    </w:p>
    <w:p w14:paraId="61DE741E" w14:textId="77777777" w:rsidR="0068273D" w:rsidRPr="00A85E8F" w:rsidRDefault="00010DA1" w:rsidP="004E53C7">
      <w:pPr>
        <w:rPr>
          <w:rFonts w:ascii="Arial" w:eastAsiaTheme="minorHAnsi" w:hAnsi="Arial" w:cs="Arial"/>
          <w:sz w:val="22"/>
          <w:szCs w:val="22"/>
        </w:rPr>
      </w:pPr>
      <w:r w:rsidRPr="00A85E8F">
        <w:rPr>
          <w:rFonts w:ascii="Arial" w:hAnsi="Arial" w:cs="Arial"/>
          <w:sz w:val="22"/>
          <w:szCs w:val="22"/>
        </w:rPr>
        <w:t>The tax-free dividend allowance</w:t>
      </w:r>
      <w:r w:rsidR="00932D05" w:rsidRPr="00A85E8F">
        <w:rPr>
          <w:rFonts w:ascii="Arial" w:hAnsi="Arial" w:cs="Arial"/>
          <w:sz w:val="22"/>
          <w:szCs w:val="22"/>
        </w:rPr>
        <w:t xml:space="preserve"> </w:t>
      </w:r>
      <w:r w:rsidR="00023486" w:rsidRPr="00A85E8F">
        <w:rPr>
          <w:rFonts w:ascii="Arial" w:hAnsi="Arial" w:cs="Arial"/>
          <w:sz w:val="22"/>
          <w:szCs w:val="22"/>
        </w:rPr>
        <w:t>is unchanged at</w:t>
      </w:r>
      <w:r w:rsidRPr="00A85E8F">
        <w:rPr>
          <w:rFonts w:ascii="Arial" w:hAnsi="Arial" w:cs="Arial"/>
          <w:sz w:val="22"/>
          <w:szCs w:val="22"/>
        </w:rPr>
        <w:t xml:space="preserve"> £2,000.</w:t>
      </w:r>
      <w:r w:rsidR="0068273D" w:rsidRPr="00A85E8F">
        <w:rPr>
          <w:rFonts w:ascii="Arial" w:eastAsiaTheme="minorHAnsi" w:hAnsi="Arial" w:cs="Arial"/>
          <w:sz w:val="22"/>
          <w:szCs w:val="22"/>
        </w:rPr>
        <w:t xml:space="preserve"> </w:t>
      </w:r>
    </w:p>
    <w:p w14:paraId="68321423" w14:textId="77777777" w:rsidR="00604FE2" w:rsidRPr="00A85E8F" w:rsidRDefault="00604FE2" w:rsidP="003509D0">
      <w:pPr>
        <w:autoSpaceDE w:val="0"/>
        <w:autoSpaceDN w:val="0"/>
        <w:rPr>
          <w:rFonts w:ascii="Arial" w:hAnsi="Arial" w:cs="Arial"/>
          <w:sz w:val="22"/>
          <w:szCs w:val="22"/>
          <w:lang w:eastAsia="en-GB"/>
        </w:rPr>
      </w:pPr>
    </w:p>
    <w:p w14:paraId="643B79C6" w14:textId="77777777" w:rsidR="003509D0" w:rsidRPr="00A85E8F" w:rsidRDefault="003509D0" w:rsidP="003509D0">
      <w:pPr>
        <w:autoSpaceDE w:val="0"/>
        <w:autoSpaceDN w:val="0"/>
        <w:rPr>
          <w:rFonts w:ascii="Arial" w:hAnsi="Arial" w:cs="Arial"/>
          <w:color w:val="000000"/>
          <w:sz w:val="22"/>
          <w:szCs w:val="22"/>
        </w:rPr>
      </w:pPr>
      <w:r w:rsidRPr="00A85E8F">
        <w:rPr>
          <w:rFonts w:ascii="Arial" w:hAnsi="Arial" w:cs="Arial"/>
          <w:b/>
          <w:bCs/>
          <w:sz w:val="22"/>
          <w:szCs w:val="22"/>
        </w:rPr>
        <w:lastRenderedPageBreak/>
        <w:t>Corporation tax</w:t>
      </w:r>
    </w:p>
    <w:p w14:paraId="58BB92D2" w14:textId="77777777" w:rsidR="003509D0" w:rsidRPr="00A85E8F" w:rsidRDefault="00AF44C6" w:rsidP="003509D0">
      <w:pPr>
        <w:autoSpaceDE w:val="0"/>
        <w:autoSpaceDN w:val="0"/>
        <w:adjustRightInd w:val="0"/>
        <w:rPr>
          <w:rFonts w:ascii="Arial" w:hAnsi="Arial" w:cs="Arial"/>
          <w:sz w:val="22"/>
          <w:szCs w:val="22"/>
        </w:rPr>
      </w:pPr>
      <w:r w:rsidRPr="00A85E8F">
        <w:rPr>
          <w:rFonts w:ascii="Arial" w:hAnsi="Arial" w:cs="Arial"/>
          <w:color w:val="000000"/>
          <w:sz w:val="22"/>
          <w:szCs w:val="22"/>
        </w:rPr>
        <w:t>T</w:t>
      </w:r>
      <w:r w:rsidR="003509D0" w:rsidRPr="00A85E8F">
        <w:rPr>
          <w:rFonts w:ascii="Arial" w:hAnsi="Arial" w:cs="Arial"/>
          <w:color w:val="000000"/>
          <w:sz w:val="22"/>
          <w:szCs w:val="22"/>
        </w:rPr>
        <w:t>he corporation tax</w:t>
      </w:r>
      <w:r w:rsidR="00010DA1" w:rsidRPr="00A85E8F">
        <w:rPr>
          <w:rFonts w:ascii="Arial" w:hAnsi="Arial" w:cs="Arial"/>
          <w:color w:val="000000"/>
          <w:sz w:val="22"/>
          <w:szCs w:val="22"/>
        </w:rPr>
        <w:t xml:space="preserve"> rate</w:t>
      </w:r>
      <w:r w:rsidR="003509D0" w:rsidRPr="00A85E8F">
        <w:rPr>
          <w:rFonts w:ascii="Arial" w:hAnsi="Arial" w:cs="Arial"/>
          <w:color w:val="000000"/>
          <w:sz w:val="22"/>
          <w:szCs w:val="22"/>
        </w:rPr>
        <w:t xml:space="preserve"> will </w:t>
      </w:r>
      <w:r w:rsidR="00434DC2" w:rsidRPr="00A85E8F">
        <w:rPr>
          <w:rFonts w:ascii="Arial" w:hAnsi="Arial" w:cs="Arial"/>
          <w:color w:val="000000"/>
          <w:sz w:val="22"/>
          <w:szCs w:val="22"/>
        </w:rPr>
        <w:t>remain at</w:t>
      </w:r>
      <w:r w:rsidR="00010DA1" w:rsidRPr="00A85E8F">
        <w:rPr>
          <w:rFonts w:ascii="Arial" w:hAnsi="Arial" w:cs="Arial"/>
          <w:color w:val="000000"/>
          <w:sz w:val="22"/>
          <w:szCs w:val="22"/>
        </w:rPr>
        <w:t xml:space="preserve"> 19</w:t>
      </w:r>
      <w:r w:rsidR="003509D0" w:rsidRPr="00A85E8F">
        <w:rPr>
          <w:rFonts w:ascii="Arial" w:hAnsi="Arial" w:cs="Arial"/>
          <w:color w:val="000000"/>
          <w:sz w:val="22"/>
          <w:szCs w:val="22"/>
        </w:rPr>
        <w:t>%</w:t>
      </w:r>
      <w:r w:rsidR="00434DC2" w:rsidRPr="00A85E8F">
        <w:rPr>
          <w:rFonts w:ascii="Arial" w:hAnsi="Arial" w:cs="Arial"/>
          <w:color w:val="000000"/>
          <w:sz w:val="22"/>
          <w:szCs w:val="22"/>
        </w:rPr>
        <w:t xml:space="preserve">. </w:t>
      </w:r>
      <w:r w:rsidR="00583DB3" w:rsidRPr="00A85E8F">
        <w:rPr>
          <w:rFonts w:ascii="Arial" w:hAnsi="Arial" w:cs="Arial"/>
          <w:color w:val="000000"/>
          <w:sz w:val="22"/>
          <w:szCs w:val="22"/>
        </w:rPr>
        <w:t xml:space="preserve"> </w:t>
      </w:r>
    </w:p>
    <w:p w14:paraId="2EFC5FBA" w14:textId="77777777" w:rsidR="003509D0" w:rsidRPr="00A85E8F" w:rsidRDefault="003509D0" w:rsidP="003509D0">
      <w:pPr>
        <w:autoSpaceDE w:val="0"/>
        <w:autoSpaceDN w:val="0"/>
        <w:adjustRightInd w:val="0"/>
        <w:rPr>
          <w:rFonts w:ascii="Arial" w:hAnsi="Arial" w:cs="Arial"/>
          <w:sz w:val="22"/>
          <w:szCs w:val="22"/>
        </w:rPr>
      </w:pPr>
    </w:p>
    <w:p w14:paraId="22F12974" w14:textId="77777777" w:rsidR="00FC5354" w:rsidRPr="00A85E8F" w:rsidRDefault="00FC5354" w:rsidP="00845527">
      <w:pPr>
        <w:rPr>
          <w:rFonts w:ascii="Arial" w:hAnsi="Arial" w:cs="Arial"/>
          <w:b/>
          <w:sz w:val="22"/>
          <w:szCs w:val="22"/>
        </w:rPr>
      </w:pPr>
      <w:r w:rsidRPr="00A85E8F">
        <w:rPr>
          <w:rFonts w:ascii="Arial" w:hAnsi="Arial" w:cs="Arial"/>
          <w:b/>
          <w:sz w:val="22"/>
          <w:szCs w:val="22"/>
        </w:rPr>
        <w:t xml:space="preserve">Annual </w:t>
      </w:r>
      <w:r w:rsidR="004E53C7" w:rsidRPr="00A85E8F">
        <w:rPr>
          <w:rFonts w:ascii="Arial" w:hAnsi="Arial" w:cs="Arial"/>
          <w:b/>
          <w:sz w:val="22"/>
          <w:szCs w:val="22"/>
        </w:rPr>
        <w:t>i</w:t>
      </w:r>
      <w:r w:rsidRPr="00A85E8F">
        <w:rPr>
          <w:rFonts w:ascii="Arial" w:hAnsi="Arial" w:cs="Arial"/>
          <w:b/>
          <w:sz w:val="22"/>
          <w:szCs w:val="22"/>
        </w:rPr>
        <w:t xml:space="preserve">nvestment </w:t>
      </w:r>
      <w:r w:rsidR="004E53C7" w:rsidRPr="00A85E8F">
        <w:rPr>
          <w:rFonts w:ascii="Arial" w:hAnsi="Arial" w:cs="Arial"/>
          <w:b/>
          <w:sz w:val="22"/>
          <w:szCs w:val="22"/>
        </w:rPr>
        <w:t>a</w:t>
      </w:r>
      <w:r w:rsidRPr="00A85E8F">
        <w:rPr>
          <w:rFonts w:ascii="Arial" w:hAnsi="Arial" w:cs="Arial"/>
          <w:b/>
          <w:sz w:val="22"/>
          <w:szCs w:val="22"/>
        </w:rPr>
        <w:t>llowance</w:t>
      </w:r>
    </w:p>
    <w:p w14:paraId="18D01A8A" w14:textId="0AF925A9" w:rsidR="008D1CAC" w:rsidRPr="008D1CAC" w:rsidRDefault="008D1CAC" w:rsidP="008D1CAC">
      <w:pPr>
        <w:spacing w:line="276" w:lineRule="auto"/>
        <w:rPr>
          <w:rFonts w:ascii="Arial" w:eastAsiaTheme="minorHAnsi" w:hAnsi="Arial" w:cs="Arial"/>
          <w:sz w:val="22"/>
          <w:szCs w:val="22"/>
        </w:rPr>
      </w:pPr>
      <w:r w:rsidRPr="008D1CAC">
        <w:rPr>
          <w:rFonts w:ascii="Arial" w:eastAsiaTheme="minorHAnsi" w:hAnsi="Arial" w:cs="Arial"/>
          <w:sz w:val="22"/>
          <w:szCs w:val="22"/>
        </w:rPr>
        <w:t>Companies will be able to claim £1m as AIA for expenditure incurred from 1 January 2019 to 31 December 2020.</w:t>
      </w:r>
      <w:r w:rsidR="009F380D">
        <w:rPr>
          <w:rFonts w:ascii="Arial" w:eastAsiaTheme="minorHAnsi" w:hAnsi="Arial" w:cs="Arial"/>
          <w:sz w:val="22"/>
          <w:szCs w:val="22"/>
        </w:rPr>
        <w:t xml:space="preserve"> No announcement was made on extending the date and if unchanged</w:t>
      </w:r>
      <w:r w:rsidR="00D17EEB">
        <w:rPr>
          <w:rFonts w:ascii="Arial" w:eastAsiaTheme="minorHAnsi" w:hAnsi="Arial" w:cs="Arial"/>
          <w:sz w:val="22"/>
          <w:szCs w:val="22"/>
        </w:rPr>
        <w:t>,</w:t>
      </w:r>
      <w:r w:rsidR="009F380D">
        <w:rPr>
          <w:rFonts w:ascii="Arial" w:eastAsiaTheme="minorHAnsi" w:hAnsi="Arial" w:cs="Arial"/>
          <w:sz w:val="22"/>
          <w:szCs w:val="22"/>
        </w:rPr>
        <w:t xml:space="preserve"> it will fall to £200,000</w:t>
      </w:r>
      <w:r w:rsidR="001078BA">
        <w:rPr>
          <w:rFonts w:ascii="Arial" w:eastAsiaTheme="minorHAnsi" w:hAnsi="Arial" w:cs="Arial"/>
          <w:sz w:val="22"/>
          <w:szCs w:val="22"/>
        </w:rPr>
        <w:t>.</w:t>
      </w:r>
    </w:p>
    <w:p w14:paraId="0296D9FB" w14:textId="77777777" w:rsidR="009B55A9" w:rsidRPr="00A85E8F" w:rsidRDefault="009B55A9" w:rsidP="00845527">
      <w:pPr>
        <w:rPr>
          <w:rFonts w:ascii="Arial" w:hAnsi="Arial" w:cs="Arial"/>
          <w:b/>
          <w:sz w:val="22"/>
          <w:szCs w:val="22"/>
        </w:rPr>
      </w:pPr>
    </w:p>
    <w:p w14:paraId="70352E59" w14:textId="77777777" w:rsidR="009B55A9" w:rsidRPr="00A85E8F" w:rsidRDefault="009B55A9" w:rsidP="00845527">
      <w:pPr>
        <w:rPr>
          <w:rFonts w:ascii="Arial" w:hAnsi="Arial" w:cs="Arial"/>
          <w:b/>
          <w:sz w:val="22"/>
          <w:szCs w:val="22"/>
        </w:rPr>
      </w:pPr>
      <w:r w:rsidRPr="00A85E8F">
        <w:rPr>
          <w:rFonts w:ascii="Arial" w:hAnsi="Arial" w:cs="Arial"/>
          <w:b/>
          <w:sz w:val="22"/>
          <w:szCs w:val="22"/>
        </w:rPr>
        <w:t>Structure and Building allowance</w:t>
      </w:r>
    </w:p>
    <w:p w14:paraId="43400711" w14:textId="68F7C569" w:rsidR="00216A34" w:rsidRPr="00975420" w:rsidRDefault="009F380D" w:rsidP="00A85E8F">
      <w:pPr>
        <w:rPr>
          <w:rFonts w:ascii="Arial" w:hAnsi="Arial" w:cs="Arial"/>
          <w:sz w:val="22"/>
          <w:szCs w:val="22"/>
        </w:rPr>
      </w:pPr>
      <w:r w:rsidRPr="00975420">
        <w:rPr>
          <w:rFonts w:ascii="Arial" w:hAnsi="Arial" w:cs="Arial"/>
          <w:sz w:val="22"/>
          <w:szCs w:val="22"/>
        </w:rPr>
        <w:t>The relief was increased to 3</w:t>
      </w:r>
      <w:r w:rsidR="00A85E8F" w:rsidRPr="00975420">
        <w:rPr>
          <w:rFonts w:ascii="Arial" w:hAnsi="Arial" w:cs="Arial"/>
          <w:sz w:val="22"/>
          <w:szCs w:val="22"/>
        </w:rPr>
        <w:t xml:space="preserve">% </w:t>
      </w:r>
      <w:r w:rsidRPr="00975420">
        <w:rPr>
          <w:rFonts w:ascii="Arial" w:hAnsi="Arial" w:cs="Arial"/>
          <w:sz w:val="22"/>
          <w:szCs w:val="22"/>
        </w:rPr>
        <w:t xml:space="preserve">and </w:t>
      </w:r>
      <w:r w:rsidR="008D1CAC" w:rsidRPr="00975420">
        <w:rPr>
          <w:rFonts w:ascii="Arial" w:hAnsi="Arial" w:cs="Arial"/>
          <w:sz w:val="22"/>
          <w:szCs w:val="22"/>
        </w:rPr>
        <w:t xml:space="preserve">will </w:t>
      </w:r>
      <w:r w:rsidR="00A85E8F" w:rsidRPr="00975420">
        <w:rPr>
          <w:rFonts w:ascii="Arial" w:hAnsi="Arial" w:cs="Arial"/>
          <w:sz w:val="22"/>
          <w:szCs w:val="22"/>
        </w:rPr>
        <w:t>be available for</w:t>
      </w:r>
      <w:r w:rsidR="008D1CAC" w:rsidRPr="00975420">
        <w:rPr>
          <w:rFonts w:ascii="Arial" w:hAnsi="Arial" w:cs="Arial"/>
          <w:sz w:val="22"/>
          <w:szCs w:val="22"/>
        </w:rPr>
        <w:t xml:space="preserve"> expenditure on non-residential buildings, for which construction contracts are entered into after 29 October 2018. </w:t>
      </w:r>
      <w:r w:rsidRPr="00975420">
        <w:rPr>
          <w:rFonts w:ascii="Arial" w:hAnsi="Arial" w:cs="Arial"/>
          <w:sz w:val="22"/>
          <w:szCs w:val="22"/>
        </w:rPr>
        <w:t xml:space="preserve">The increase </w:t>
      </w:r>
      <w:r w:rsidRPr="00975420">
        <w:rPr>
          <w:rFonts w:ascii="Arial" w:hAnsi="Arial" w:cs="Arial"/>
          <w:color w:val="0B0C0C"/>
          <w:sz w:val="22"/>
          <w:szCs w:val="22"/>
          <w:shd w:val="clear" w:color="auto" w:fill="FFFFFF"/>
        </w:rPr>
        <w:t>will take effect from 1 April 2020 for corporation tax and 6 April 2020 for income tax with transitional rules applying.</w:t>
      </w:r>
    </w:p>
    <w:p w14:paraId="0A5BF5F7" w14:textId="77777777" w:rsidR="008D1CAC" w:rsidRPr="00A85E8F" w:rsidRDefault="008D1CAC" w:rsidP="00845527">
      <w:pPr>
        <w:rPr>
          <w:rFonts w:ascii="Arial" w:hAnsi="Arial" w:cs="Arial"/>
          <w:sz w:val="22"/>
          <w:szCs w:val="22"/>
        </w:rPr>
      </w:pPr>
    </w:p>
    <w:p w14:paraId="0E3CBE10" w14:textId="77777777" w:rsidR="00216A34" w:rsidRPr="00A85E8F" w:rsidRDefault="00216A34" w:rsidP="00845527">
      <w:pPr>
        <w:rPr>
          <w:rFonts w:ascii="Arial" w:hAnsi="Arial" w:cs="Arial"/>
          <w:bCs/>
          <w:iCs/>
          <w:sz w:val="22"/>
          <w:szCs w:val="22"/>
        </w:rPr>
      </w:pPr>
      <w:r w:rsidRPr="00A85E8F">
        <w:rPr>
          <w:rFonts w:ascii="Arial" w:hAnsi="Arial" w:cs="Arial"/>
          <w:b/>
          <w:bCs/>
          <w:iCs/>
          <w:sz w:val="22"/>
          <w:szCs w:val="22"/>
        </w:rPr>
        <w:t>Making tax digital</w:t>
      </w:r>
      <w:r w:rsidRPr="00A85E8F">
        <w:rPr>
          <w:rFonts w:ascii="Arial" w:hAnsi="Arial" w:cs="Arial"/>
          <w:bCs/>
          <w:iCs/>
          <w:sz w:val="22"/>
          <w:szCs w:val="22"/>
        </w:rPr>
        <w:t xml:space="preserve"> </w:t>
      </w:r>
    </w:p>
    <w:p w14:paraId="4B543551" w14:textId="14734D7C" w:rsidR="008D1CAC" w:rsidRPr="00A85E8F" w:rsidRDefault="008D1CAC" w:rsidP="00845527">
      <w:pPr>
        <w:rPr>
          <w:rFonts w:ascii="Arial" w:hAnsi="Arial" w:cs="Arial"/>
          <w:b/>
          <w:sz w:val="22"/>
          <w:szCs w:val="22"/>
        </w:rPr>
      </w:pPr>
      <w:r w:rsidRPr="00A85E8F">
        <w:rPr>
          <w:rFonts w:ascii="Arial" w:hAnsi="Arial" w:cs="Arial"/>
          <w:bCs/>
          <w:iCs/>
          <w:sz w:val="22"/>
          <w:szCs w:val="22"/>
        </w:rPr>
        <w:t xml:space="preserve">There were no announcements on </w:t>
      </w:r>
      <w:r w:rsidR="00BD6460">
        <w:rPr>
          <w:rFonts w:ascii="Arial" w:hAnsi="Arial" w:cs="Arial"/>
          <w:bCs/>
          <w:iCs/>
          <w:sz w:val="22"/>
          <w:szCs w:val="22"/>
        </w:rPr>
        <w:t>MTD</w:t>
      </w:r>
      <w:r w:rsidR="00B67D22">
        <w:rPr>
          <w:rFonts w:ascii="Arial" w:hAnsi="Arial" w:cs="Arial"/>
          <w:bCs/>
          <w:iCs/>
          <w:sz w:val="22"/>
          <w:szCs w:val="22"/>
        </w:rPr>
        <w:t xml:space="preserve"> except that</w:t>
      </w:r>
      <w:r w:rsidRPr="00A85E8F">
        <w:rPr>
          <w:rFonts w:ascii="Arial" w:hAnsi="Arial" w:cs="Arial"/>
          <w:bCs/>
          <w:iCs/>
          <w:sz w:val="22"/>
          <w:szCs w:val="22"/>
        </w:rPr>
        <w:t xml:space="preserve"> </w:t>
      </w:r>
      <w:r w:rsidR="00B67D22">
        <w:rPr>
          <w:rFonts w:ascii="Arial" w:hAnsi="Arial" w:cs="Arial"/>
          <w:bCs/>
          <w:iCs/>
          <w:sz w:val="22"/>
          <w:szCs w:val="22"/>
        </w:rPr>
        <w:t>the government will publish an evaluation on the introduction of MTD for Vat.</w:t>
      </w:r>
    </w:p>
    <w:p w14:paraId="788E4588" w14:textId="77777777" w:rsidR="003509D0" w:rsidRPr="00A85E8F" w:rsidRDefault="003509D0" w:rsidP="002555B6">
      <w:pPr>
        <w:rPr>
          <w:rFonts w:ascii="Arial" w:hAnsi="Arial" w:cs="Arial"/>
          <w:b/>
          <w:sz w:val="22"/>
          <w:szCs w:val="22"/>
          <w:lang w:eastAsia="en-GB"/>
        </w:rPr>
      </w:pPr>
    </w:p>
    <w:p w14:paraId="050E5BD6" w14:textId="77777777" w:rsidR="00694815" w:rsidRPr="00A85E8F" w:rsidRDefault="003509D0" w:rsidP="002555B6">
      <w:pPr>
        <w:rPr>
          <w:rFonts w:ascii="Arial" w:hAnsi="Arial" w:cs="Arial"/>
          <w:b/>
          <w:sz w:val="22"/>
          <w:szCs w:val="22"/>
          <w:lang w:eastAsia="en-GB"/>
        </w:rPr>
      </w:pPr>
      <w:r w:rsidRPr="00A85E8F">
        <w:rPr>
          <w:rFonts w:ascii="Arial" w:hAnsi="Arial" w:cs="Arial"/>
          <w:b/>
          <w:sz w:val="22"/>
          <w:szCs w:val="22"/>
          <w:lang w:eastAsia="en-GB"/>
        </w:rPr>
        <w:t>VAT</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6"/>
        <w:gridCol w:w="1830"/>
        <w:gridCol w:w="1672"/>
      </w:tblGrid>
      <w:tr w:rsidR="006D4580" w:rsidRPr="00A85E8F" w14:paraId="77093415" w14:textId="77777777" w:rsidTr="006D4580">
        <w:trPr>
          <w:trHeight w:val="255"/>
        </w:trPr>
        <w:tc>
          <w:tcPr>
            <w:tcW w:w="6436" w:type="dxa"/>
            <w:shd w:val="clear" w:color="auto" w:fill="D9D9D9"/>
            <w:noWrap/>
            <w:vAlign w:val="bottom"/>
          </w:tcPr>
          <w:p w14:paraId="12E5C3BD" w14:textId="77777777" w:rsidR="006D4580" w:rsidRPr="00A85E8F" w:rsidRDefault="006D4580" w:rsidP="00AF44C6">
            <w:pPr>
              <w:rPr>
                <w:rFonts w:ascii="Arial" w:hAnsi="Arial" w:cs="Arial"/>
                <w:sz w:val="22"/>
                <w:szCs w:val="22"/>
                <w:lang w:eastAsia="en-GB"/>
              </w:rPr>
            </w:pPr>
          </w:p>
        </w:tc>
        <w:tc>
          <w:tcPr>
            <w:tcW w:w="1830" w:type="dxa"/>
            <w:shd w:val="clear" w:color="auto" w:fill="D9D9D9"/>
            <w:noWrap/>
            <w:vAlign w:val="bottom"/>
          </w:tcPr>
          <w:p w14:paraId="1392D678" w14:textId="77777777" w:rsidR="006D4580" w:rsidRPr="00A85E8F" w:rsidRDefault="00A96611" w:rsidP="00AF44C6">
            <w:pPr>
              <w:jc w:val="center"/>
              <w:rPr>
                <w:rFonts w:ascii="Arial" w:hAnsi="Arial" w:cs="Arial"/>
                <w:b/>
                <w:bCs/>
                <w:sz w:val="22"/>
                <w:szCs w:val="22"/>
                <w:lang w:eastAsia="en-GB"/>
              </w:rPr>
            </w:pPr>
            <w:r w:rsidRPr="00A85E8F">
              <w:rPr>
                <w:rFonts w:ascii="Arial" w:hAnsi="Arial" w:cs="Arial"/>
                <w:b/>
                <w:bCs/>
                <w:sz w:val="22"/>
                <w:szCs w:val="22"/>
                <w:lang w:eastAsia="en-GB"/>
              </w:rPr>
              <w:t>2019/20</w:t>
            </w:r>
          </w:p>
        </w:tc>
        <w:tc>
          <w:tcPr>
            <w:tcW w:w="1672" w:type="dxa"/>
            <w:shd w:val="clear" w:color="auto" w:fill="D9D9D9"/>
            <w:noWrap/>
            <w:vAlign w:val="bottom"/>
          </w:tcPr>
          <w:p w14:paraId="033A84E7" w14:textId="3DBA82F7" w:rsidR="006D4580" w:rsidRPr="00A85E8F" w:rsidRDefault="00010DA1" w:rsidP="00AF44C6">
            <w:pPr>
              <w:jc w:val="center"/>
              <w:rPr>
                <w:rFonts w:ascii="Arial" w:hAnsi="Arial" w:cs="Arial"/>
                <w:b/>
                <w:bCs/>
                <w:sz w:val="22"/>
                <w:szCs w:val="22"/>
                <w:lang w:eastAsia="en-GB"/>
              </w:rPr>
            </w:pPr>
            <w:r w:rsidRPr="00A85E8F">
              <w:rPr>
                <w:rFonts w:ascii="Arial" w:hAnsi="Arial" w:cs="Arial"/>
                <w:b/>
                <w:bCs/>
                <w:sz w:val="22"/>
                <w:szCs w:val="22"/>
                <w:lang w:eastAsia="en-GB"/>
              </w:rPr>
              <w:t>20</w:t>
            </w:r>
            <w:r w:rsidR="00E27F90">
              <w:rPr>
                <w:rFonts w:ascii="Arial" w:hAnsi="Arial" w:cs="Arial"/>
                <w:b/>
                <w:bCs/>
                <w:sz w:val="22"/>
                <w:szCs w:val="22"/>
                <w:lang w:eastAsia="en-GB"/>
              </w:rPr>
              <w:t>20</w:t>
            </w:r>
            <w:r w:rsidRPr="00A85E8F">
              <w:rPr>
                <w:rFonts w:ascii="Arial" w:hAnsi="Arial" w:cs="Arial"/>
                <w:b/>
                <w:bCs/>
                <w:sz w:val="22"/>
                <w:szCs w:val="22"/>
                <w:lang w:eastAsia="en-GB"/>
              </w:rPr>
              <w:t>/</w:t>
            </w:r>
            <w:r w:rsidR="00E27F90">
              <w:rPr>
                <w:rFonts w:ascii="Arial" w:hAnsi="Arial" w:cs="Arial"/>
                <w:b/>
                <w:bCs/>
                <w:sz w:val="22"/>
                <w:szCs w:val="22"/>
                <w:lang w:eastAsia="en-GB"/>
              </w:rPr>
              <w:t>21</w:t>
            </w:r>
          </w:p>
        </w:tc>
      </w:tr>
      <w:tr w:rsidR="006D4580" w:rsidRPr="00A85E8F" w14:paraId="24403F5A" w14:textId="77777777" w:rsidTr="006D4580">
        <w:trPr>
          <w:trHeight w:val="255"/>
        </w:trPr>
        <w:tc>
          <w:tcPr>
            <w:tcW w:w="6436" w:type="dxa"/>
            <w:noWrap/>
            <w:vAlign w:val="bottom"/>
          </w:tcPr>
          <w:p w14:paraId="3720033E" w14:textId="77777777" w:rsidR="006D4580" w:rsidRPr="00A85E8F" w:rsidRDefault="006D4580" w:rsidP="00AF44C6">
            <w:pPr>
              <w:rPr>
                <w:rFonts w:ascii="Arial" w:hAnsi="Arial" w:cs="Arial"/>
                <w:sz w:val="22"/>
                <w:szCs w:val="22"/>
                <w:lang w:eastAsia="en-GB"/>
              </w:rPr>
            </w:pPr>
          </w:p>
        </w:tc>
        <w:tc>
          <w:tcPr>
            <w:tcW w:w="1830" w:type="dxa"/>
            <w:noWrap/>
            <w:vAlign w:val="bottom"/>
          </w:tcPr>
          <w:p w14:paraId="6229246F" w14:textId="77777777" w:rsidR="006D4580" w:rsidRPr="00A85E8F" w:rsidRDefault="006D4580" w:rsidP="00AF44C6">
            <w:pPr>
              <w:jc w:val="center"/>
              <w:rPr>
                <w:rFonts w:ascii="Arial" w:hAnsi="Arial" w:cs="Arial"/>
                <w:b/>
                <w:bCs/>
                <w:sz w:val="22"/>
                <w:szCs w:val="22"/>
                <w:lang w:eastAsia="en-GB"/>
              </w:rPr>
            </w:pPr>
            <w:r w:rsidRPr="00A85E8F">
              <w:rPr>
                <w:rFonts w:ascii="Arial" w:hAnsi="Arial" w:cs="Arial"/>
                <w:b/>
                <w:bCs/>
                <w:sz w:val="22"/>
                <w:szCs w:val="22"/>
                <w:lang w:eastAsia="en-GB"/>
              </w:rPr>
              <w:t>£</w:t>
            </w:r>
          </w:p>
        </w:tc>
        <w:tc>
          <w:tcPr>
            <w:tcW w:w="1672" w:type="dxa"/>
            <w:noWrap/>
            <w:vAlign w:val="bottom"/>
          </w:tcPr>
          <w:p w14:paraId="5F679807" w14:textId="77777777" w:rsidR="006D4580" w:rsidRPr="00A85E8F" w:rsidRDefault="006D4580" w:rsidP="00AF44C6">
            <w:pPr>
              <w:jc w:val="center"/>
              <w:rPr>
                <w:rFonts w:ascii="Arial" w:hAnsi="Arial" w:cs="Arial"/>
                <w:b/>
                <w:bCs/>
                <w:sz w:val="22"/>
                <w:szCs w:val="22"/>
                <w:lang w:eastAsia="en-GB"/>
              </w:rPr>
            </w:pPr>
            <w:r w:rsidRPr="00A85E8F">
              <w:rPr>
                <w:rFonts w:ascii="Arial" w:hAnsi="Arial" w:cs="Arial"/>
                <w:b/>
                <w:bCs/>
                <w:sz w:val="22"/>
                <w:szCs w:val="22"/>
                <w:lang w:eastAsia="en-GB"/>
              </w:rPr>
              <w:t>£</w:t>
            </w:r>
          </w:p>
        </w:tc>
      </w:tr>
      <w:tr w:rsidR="006D4580" w:rsidRPr="00A85E8F" w14:paraId="40BEC1B6" w14:textId="77777777" w:rsidTr="006D4580">
        <w:trPr>
          <w:trHeight w:val="255"/>
        </w:trPr>
        <w:tc>
          <w:tcPr>
            <w:tcW w:w="9938" w:type="dxa"/>
            <w:gridSpan w:val="3"/>
            <w:shd w:val="clear" w:color="auto" w:fill="D9D9D9"/>
            <w:noWrap/>
            <w:vAlign w:val="bottom"/>
          </w:tcPr>
          <w:p w14:paraId="4FCB2E5F" w14:textId="77777777" w:rsidR="006D4580" w:rsidRPr="00A85E8F" w:rsidRDefault="006D4580" w:rsidP="00AF44C6">
            <w:pPr>
              <w:rPr>
                <w:rFonts w:ascii="Arial" w:hAnsi="Arial" w:cs="Arial"/>
                <w:sz w:val="22"/>
                <w:szCs w:val="22"/>
                <w:lang w:eastAsia="en-GB"/>
              </w:rPr>
            </w:pPr>
            <w:r w:rsidRPr="00A85E8F">
              <w:rPr>
                <w:rFonts w:ascii="Arial" w:hAnsi="Arial" w:cs="Arial"/>
                <w:b/>
                <w:bCs/>
                <w:sz w:val="22"/>
                <w:szCs w:val="22"/>
                <w:lang w:eastAsia="en-GB"/>
              </w:rPr>
              <w:t>VAT</w:t>
            </w:r>
          </w:p>
        </w:tc>
      </w:tr>
      <w:tr w:rsidR="006D4580" w:rsidRPr="00A85E8F" w14:paraId="3B5CC3A6" w14:textId="77777777" w:rsidTr="006D4580">
        <w:trPr>
          <w:trHeight w:val="255"/>
        </w:trPr>
        <w:tc>
          <w:tcPr>
            <w:tcW w:w="6436" w:type="dxa"/>
            <w:noWrap/>
            <w:vAlign w:val="bottom"/>
          </w:tcPr>
          <w:p w14:paraId="711A3CBB" w14:textId="77777777" w:rsidR="006D4580" w:rsidRPr="00A85E8F" w:rsidRDefault="006D4580" w:rsidP="00AF44C6">
            <w:pPr>
              <w:rPr>
                <w:rFonts w:ascii="Arial" w:hAnsi="Arial" w:cs="Arial"/>
                <w:sz w:val="22"/>
                <w:szCs w:val="22"/>
                <w:lang w:eastAsia="en-GB"/>
              </w:rPr>
            </w:pPr>
            <w:r w:rsidRPr="00A85E8F">
              <w:rPr>
                <w:rFonts w:ascii="Arial" w:hAnsi="Arial" w:cs="Arial"/>
                <w:sz w:val="22"/>
                <w:szCs w:val="22"/>
                <w:lang w:eastAsia="en-GB"/>
              </w:rPr>
              <w:t>Standard rate</w:t>
            </w:r>
          </w:p>
        </w:tc>
        <w:tc>
          <w:tcPr>
            <w:tcW w:w="1830" w:type="dxa"/>
            <w:noWrap/>
            <w:vAlign w:val="bottom"/>
          </w:tcPr>
          <w:p w14:paraId="1698B511" w14:textId="77777777" w:rsidR="006D4580" w:rsidRPr="00A85E8F" w:rsidRDefault="006D4580" w:rsidP="00AF44C6">
            <w:pPr>
              <w:jc w:val="center"/>
              <w:rPr>
                <w:rFonts w:ascii="Arial" w:hAnsi="Arial" w:cs="Arial"/>
                <w:sz w:val="22"/>
                <w:szCs w:val="22"/>
                <w:lang w:eastAsia="en-GB"/>
              </w:rPr>
            </w:pPr>
            <w:r w:rsidRPr="00A85E8F">
              <w:rPr>
                <w:rFonts w:ascii="Arial" w:hAnsi="Arial" w:cs="Arial"/>
                <w:sz w:val="22"/>
                <w:szCs w:val="22"/>
                <w:lang w:eastAsia="en-GB"/>
              </w:rPr>
              <w:t>20%</w:t>
            </w:r>
          </w:p>
        </w:tc>
        <w:tc>
          <w:tcPr>
            <w:tcW w:w="1672" w:type="dxa"/>
            <w:noWrap/>
            <w:vAlign w:val="bottom"/>
          </w:tcPr>
          <w:p w14:paraId="7B670CA3" w14:textId="134F7486" w:rsidR="006D4580" w:rsidRPr="00A85E8F" w:rsidRDefault="004F7482" w:rsidP="00AF44C6">
            <w:pPr>
              <w:jc w:val="center"/>
              <w:rPr>
                <w:rFonts w:ascii="Arial" w:hAnsi="Arial" w:cs="Arial"/>
                <w:sz w:val="22"/>
                <w:szCs w:val="22"/>
                <w:lang w:eastAsia="en-GB"/>
              </w:rPr>
            </w:pPr>
            <w:r>
              <w:rPr>
                <w:rFonts w:ascii="Arial" w:hAnsi="Arial" w:cs="Arial"/>
                <w:sz w:val="22"/>
                <w:szCs w:val="22"/>
                <w:lang w:eastAsia="en-GB"/>
              </w:rPr>
              <w:t>20%</w:t>
            </w:r>
          </w:p>
        </w:tc>
      </w:tr>
      <w:tr w:rsidR="006D4580" w:rsidRPr="00A85E8F" w14:paraId="5F3C64C9" w14:textId="77777777" w:rsidTr="006D4580">
        <w:trPr>
          <w:trHeight w:val="255"/>
        </w:trPr>
        <w:tc>
          <w:tcPr>
            <w:tcW w:w="6436" w:type="dxa"/>
            <w:noWrap/>
            <w:vAlign w:val="bottom"/>
          </w:tcPr>
          <w:p w14:paraId="70CA89A6" w14:textId="77777777" w:rsidR="006D4580" w:rsidRPr="00A85E8F" w:rsidRDefault="006D4580" w:rsidP="00AF44C6">
            <w:pPr>
              <w:rPr>
                <w:rFonts w:ascii="Arial" w:hAnsi="Arial" w:cs="Arial"/>
                <w:sz w:val="22"/>
                <w:szCs w:val="22"/>
                <w:lang w:eastAsia="en-GB"/>
              </w:rPr>
            </w:pPr>
            <w:r w:rsidRPr="00A85E8F">
              <w:rPr>
                <w:rFonts w:ascii="Arial" w:hAnsi="Arial" w:cs="Arial"/>
                <w:sz w:val="22"/>
                <w:szCs w:val="22"/>
                <w:lang w:eastAsia="en-GB"/>
              </w:rPr>
              <w:t>Registration threshold</w:t>
            </w:r>
          </w:p>
        </w:tc>
        <w:tc>
          <w:tcPr>
            <w:tcW w:w="1830" w:type="dxa"/>
            <w:noWrap/>
            <w:vAlign w:val="bottom"/>
          </w:tcPr>
          <w:p w14:paraId="250F970C" w14:textId="77777777" w:rsidR="006D4580" w:rsidRPr="00A85E8F" w:rsidRDefault="00434DC2" w:rsidP="00434DC2">
            <w:pPr>
              <w:jc w:val="center"/>
              <w:rPr>
                <w:rFonts w:ascii="Arial" w:hAnsi="Arial" w:cs="Arial"/>
                <w:sz w:val="22"/>
                <w:szCs w:val="22"/>
                <w:lang w:eastAsia="en-GB"/>
              </w:rPr>
            </w:pPr>
            <w:r w:rsidRPr="00A85E8F">
              <w:rPr>
                <w:rFonts w:ascii="Arial" w:hAnsi="Arial" w:cs="Arial"/>
                <w:sz w:val="22"/>
                <w:szCs w:val="22"/>
                <w:lang w:eastAsia="en-GB"/>
              </w:rPr>
              <w:t>85</w:t>
            </w:r>
            <w:r w:rsidR="006D4580" w:rsidRPr="00A85E8F">
              <w:rPr>
                <w:rFonts w:ascii="Arial" w:hAnsi="Arial" w:cs="Arial"/>
                <w:sz w:val="22"/>
                <w:szCs w:val="22"/>
                <w:lang w:eastAsia="en-GB"/>
              </w:rPr>
              <w:t>,000</w:t>
            </w:r>
          </w:p>
        </w:tc>
        <w:tc>
          <w:tcPr>
            <w:tcW w:w="1672" w:type="dxa"/>
            <w:noWrap/>
            <w:vAlign w:val="bottom"/>
          </w:tcPr>
          <w:p w14:paraId="62227702" w14:textId="07259C1D" w:rsidR="006D4580" w:rsidRPr="00A85E8F" w:rsidRDefault="004F7482" w:rsidP="00AF44C6">
            <w:pPr>
              <w:jc w:val="center"/>
              <w:rPr>
                <w:rFonts w:ascii="Arial" w:hAnsi="Arial" w:cs="Arial"/>
                <w:sz w:val="22"/>
                <w:szCs w:val="22"/>
                <w:lang w:eastAsia="en-GB"/>
              </w:rPr>
            </w:pPr>
            <w:r>
              <w:rPr>
                <w:rFonts w:ascii="Arial" w:hAnsi="Arial" w:cs="Arial"/>
                <w:sz w:val="22"/>
                <w:szCs w:val="22"/>
                <w:lang w:eastAsia="en-GB"/>
              </w:rPr>
              <w:t>85,000</w:t>
            </w:r>
          </w:p>
        </w:tc>
      </w:tr>
      <w:tr w:rsidR="006D4580" w:rsidRPr="00A85E8F" w14:paraId="5B8579F1" w14:textId="77777777" w:rsidTr="006D4580">
        <w:trPr>
          <w:trHeight w:val="255"/>
        </w:trPr>
        <w:tc>
          <w:tcPr>
            <w:tcW w:w="6436" w:type="dxa"/>
            <w:noWrap/>
            <w:vAlign w:val="bottom"/>
          </w:tcPr>
          <w:p w14:paraId="2AF363CA" w14:textId="77777777" w:rsidR="006D4580" w:rsidRPr="00A85E8F" w:rsidRDefault="006D4580" w:rsidP="00AF44C6">
            <w:pPr>
              <w:rPr>
                <w:rFonts w:ascii="Arial" w:hAnsi="Arial" w:cs="Arial"/>
                <w:sz w:val="22"/>
                <w:szCs w:val="22"/>
                <w:lang w:eastAsia="en-GB"/>
              </w:rPr>
            </w:pPr>
            <w:r w:rsidRPr="00A85E8F">
              <w:rPr>
                <w:rFonts w:ascii="Arial" w:hAnsi="Arial" w:cs="Arial"/>
                <w:sz w:val="22"/>
                <w:szCs w:val="22"/>
                <w:lang w:eastAsia="en-GB"/>
              </w:rPr>
              <w:t>Deregistration threshold</w:t>
            </w:r>
          </w:p>
        </w:tc>
        <w:tc>
          <w:tcPr>
            <w:tcW w:w="1830" w:type="dxa"/>
            <w:noWrap/>
            <w:vAlign w:val="bottom"/>
          </w:tcPr>
          <w:p w14:paraId="5647FE05" w14:textId="77777777" w:rsidR="006D4580" w:rsidRPr="00A85E8F" w:rsidRDefault="00010DA1" w:rsidP="00AF44C6">
            <w:pPr>
              <w:jc w:val="center"/>
              <w:rPr>
                <w:rFonts w:ascii="Arial" w:hAnsi="Arial" w:cs="Arial"/>
                <w:sz w:val="22"/>
                <w:szCs w:val="22"/>
                <w:lang w:eastAsia="en-GB"/>
              </w:rPr>
            </w:pPr>
            <w:r w:rsidRPr="00A85E8F">
              <w:rPr>
                <w:rFonts w:ascii="Arial" w:hAnsi="Arial" w:cs="Arial"/>
                <w:sz w:val="22"/>
                <w:szCs w:val="22"/>
                <w:lang w:eastAsia="en-GB"/>
              </w:rPr>
              <w:t>8</w:t>
            </w:r>
            <w:r w:rsidR="00434DC2" w:rsidRPr="00A85E8F">
              <w:rPr>
                <w:rFonts w:ascii="Arial" w:hAnsi="Arial" w:cs="Arial"/>
                <w:sz w:val="22"/>
                <w:szCs w:val="22"/>
                <w:lang w:eastAsia="en-GB"/>
              </w:rPr>
              <w:t>3</w:t>
            </w:r>
            <w:r w:rsidR="006D4580" w:rsidRPr="00A85E8F">
              <w:rPr>
                <w:rFonts w:ascii="Arial" w:hAnsi="Arial" w:cs="Arial"/>
                <w:sz w:val="22"/>
                <w:szCs w:val="22"/>
                <w:lang w:eastAsia="en-GB"/>
              </w:rPr>
              <w:t>,000</w:t>
            </w:r>
          </w:p>
        </w:tc>
        <w:tc>
          <w:tcPr>
            <w:tcW w:w="1672" w:type="dxa"/>
            <w:noWrap/>
            <w:vAlign w:val="bottom"/>
          </w:tcPr>
          <w:p w14:paraId="22E8E427" w14:textId="6EE93D3A" w:rsidR="006D4580" w:rsidRPr="00A85E8F" w:rsidRDefault="004F7482" w:rsidP="00AF44C6">
            <w:pPr>
              <w:jc w:val="center"/>
              <w:rPr>
                <w:rFonts w:ascii="Arial" w:hAnsi="Arial" w:cs="Arial"/>
                <w:sz w:val="22"/>
                <w:szCs w:val="22"/>
                <w:lang w:eastAsia="en-GB"/>
              </w:rPr>
            </w:pPr>
            <w:r>
              <w:rPr>
                <w:rFonts w:ascii="Arial" w:hAnsi="Arial" w:cs="Arial"/>
                <w:sz w:val="22"/>
                <w:szCs w:val="22"/>
                <w:lang w:eastAsia="en-GB"/>
              </w:rPr>
              <w:t>83,000</w:t>
            </w:r>
          </w:p>
        </w:tc>
      </w:tr>
    </w:tbl>
    <w:p w14:paraId="2AA40139" w14:textId="0681EE24" w:rsidR="009502AE" w:rsidRPr="00BD6460" w:rsidRDefault="00A96611" w:rsidP="00845527">
      <w:pPr>
        <w:autoSpaceDE w:val="0"/>
        <w:autoSpaceDN w:val="0"/>
        <w:rPr>
          <w:rFonts w:ascii="Arial" w:hAnsi="Arial" w:cs="Arial"/>
          <w:bCs/>
          <w:i/>
          <w:sz w:val="22"/>
          <w:szCs w:val="22"/>
        </w:rPr>
      </w:pPr>
      <w:r w:rsidRPr="00BD6460">
        <w:rPr>
          <w:rFonts w:ascii="Arial" w:hAnsi="Arial" w:cs="Arial"/>
          <w:bCs/>
          <w:i/>
          <w:sz w:val="22"/>
          <w:szCs w:val="22"/>
        </w:rPr>
        <w:t>VAT thresholds remain unchanged.</w:t>
      </w:r>
    </w:p>
    <w:p w14:paraId="70CFA60B" w14:textId="77777777" w:rsidR="00010DA1" w:rsidRPr="00A85E8F" w:rsidRDefault="00010DA1" w:rsidP="00FA576A">
      <w:pPr>
        <w:rPr>
          <w:rFonts w:ascii="Arial" w:hAnsi="Arial" w:cs="Arial"/>
          <w:sz w:val="22"/>
          <w:szCs w:val="22"/>
          <w:lang w:eastAsia="en-GB"/>
        </w:rPr>
      </w:pPr>
    </w:p>
    <w:p w14:paraId="550BC9C0" w14:textId="77777777" w:rsidR="00B67D22" w:rsidRPr="009C5F6B" w:rsidRDefault="00B67D22" w:rsidP="00B67D22">
      <w:pPr>
        <w:rPr>
          <w:rFonts w:ascii="Arial" w:hAnsi="Arial" w:cs="Arial"/>
          <w:b/>
          <w:sz w:val="22"/>
          <w:szCs w:val="22"/>
        </w:rPr>
      </w:pPr>
      <w:r w:rsidRPr="009C5F6B">
        <w:rPr>
          <w:rFonts w:ascii="Arial" w:hAnsi="Arial" w:cs="Arial"/>
          <w:b/>
          <w:sz w:val="22"/>
          <w:szCs w:val="22"/>
        </w:rPr>
        <w:t>Entrepreneurs’ Relief</w:t>
      </w:r>
    </w:p>
    <w:p w14:paraId="40479CB9" w14:textId="77777777" w:rsidR="00B67D22" w:rsidRPr="009C5F6B" w:rsidRDefault="00B67D22" w:rsidP="00B67D22">
      <w:pPr>
        <w:rPr>
          <w:rFonts w:ascii="Arial" w:hAnsi="Arial" w:cs="Arial"/>
          <w:sz w:val="22"/>
          <w:szCs w:val="22"/>
        </w:rPr>
      </w:pPr>
      <w:r w:rsidRPr="009C5F6B">
        <w:rPr>
          <w:rFonts w:ascii="Arial" w:hAnsi="Arial" w:cs="Arial"/>
          <w:sz w:val="22"/>
          <w:szCs w:val="22"/>
        </w:rPr>
        <w:t>The lifetime limit on gains eligible for Entrepreneurs’ Relief has been reduced from £10 million to £1 million for qualifying disposals made on or after 11 March 2020</w:t>
      </w:r>
      <w:r>
        <w:rPr>
          <w:rFonts w:ascii="Arial" w:hAnsi="Arial" w:cs="Arial"/>
          <w:sz w:val="22"/>
          <w:szCs w:val="22"/>
        </w:rPr>
        <w:t>.</w:t>
      </w:r>
    </w:p>
    <w:p w14:paraId="375FD3EA" w14:textId="77777777" w:rsidR="00B67D22" w:rsidRDefault="00B67D22" w:rsidP="00FA576A">
      <w:pPr>
        <w:rPr>
          <w:rFonts w:ascii="Arial" w:hAnsi="Arial" w:cs="Arial"/>
          <w:b/>
          <w:sz w:val="22"/>
          <w:szCs w:val="22"/>
        </w:rPr>
      </w:pPr>
    </w:p>
    <w:p w14:paraId="0382BA85" w14:textId="77777777" w:rsidR="00B67D22" w:rsidRPr="00A85E8F" w:rsidRDefault="00B67D22" w:rsidP="00B67D22">
      <w:pPr>
        <w:rPr>
          <w:rFonts w:ascii="Arial" w:hAnsi="Arial" w:cs="Arial"/>
          <w:sz w:val="22"/>
          <w:szCs w:val="22"/>
        </w:rPr>
      </w:pPr>
      <w:r w:rsidRPr="00A85E8F">
        <w:rPr>
          <w:rFonts w:ascii="Arial" w:hAnsi="Arial" w:cs="Arial"/>
          <w:b/>
          <w:sz w:val="22"/>
          <w:szCs w:val="22"/>
        </w:rPr>
        <w:t xml:space="preserve">IR35 </w:t>
      </w:r>
      <w:r w:rsidRPr="00A85E8F">
        <w:rPr>
          <w:rFonts w:ascii="Arial" w:hAnsi="Arial" w:cs="Arial"/>
          <w:sz w:val="22"/>
          <w:szCs w:val="22"/>
        </w:rPr>
        <w:br/>
        <w:t xml:space="preserve">The chancellor </w:t>
      </w:r>
      <w:r>
        <w:rPr>
          <w:rFonts w:ascii="Arial" w:hAnsi="Arial" w:cs="Arial"/>
          <w:sz w:val="22"/>
          <w:szCs w:val="22"/>
        </w:rPr>
        <w:t>has pushed ahead with the IR35 changes due to impact businesses from April 2020. All businesses will need to review the Finance Bill, which will contain the rules to be implemented and explanatory notes.</w:t>
      </w:r>
    </w:p>
    <w:p w14:paraId="4B76AB6D" w14:textId="77777777" w:rsidR="00B67D22" w:rsidRPr="009C5F6B" w:rsidRDefault="00B67D22" w:rsidP="00B67D22">
      <w:pPr>
        <w:rPr>
          <w:rFonts w:ascii="Arial" w:hAnsi="Arial" w:cs="Arial"/>
          <w:b/>
          <w:sz w:val="22"/>
          <w:szCs w:val="22"/>
        </w:rPr>
      </w:pPr>
    </w:p>
    <w:p w14:paraId="229B5E06" w14:textId="77777777" w:rsidR="00B67D22" w:rsidRPr="009C5F6B" w:rsidRDefault="00B67D22" w:rsidP="00B67D22">
      <w:pPr>
        <w:rPr>
          <w:rFonts w:ascii="Arial" w:hAnsi="Arial" w:cs="Arial"/>
          <w:b/>
          <w:sz w:val="22"/>
          <w:szCs w:val="22"/>
        </w:rPr>
      </w:pPr>
      <w:r w:rsidRPr="009C5F6B">
        <w:rPr>
          <w:rFonts w:ascii="Arial" w:hAnsi="Arial" w:cs="Arial"/>
          <w:b/>
          <w:sz w:val="22"/>
          <w:szCs w:val="22"/>
        </w:rPr>
        <w:t>Employment allowance reform</w:t>
      </w:r>
    </w:p>
    <w:p w14:paraId="3D72D576" w14:textId="77777777" w:rsidR="00B67D22" w:rsidRPr="009C5F6B" w:rsidRDefault="00B67D22" w:rsidP="00B67D22">
      <w:pPr>
        <w:rPr>
          <w:rFonts w:ascii="Arial" w:hAnsi="Arial" w:cs="Arial"/>
          <w:b/>
          <w:sz w:val="22"/>
          <w:szCs w:val="22"/>
        </w:rPr>
      </w:pPr>
      <w:r w:rsidRPr="009C5F6B">
        <w:rPr>
          <w:rFonts w:ascii="Arial" w:hAnsi="Arial" w:cs="Arial"/>
          <w:sz w:val="22"/>
          <w:szCs w:val="22"/>
        </w:rPr>
        <w:t xml:space="preserve">The allowance was increased </w:t>
      </w:r>
      <w:r>
        <w:rPr>
          <w:rFonts w:ascii="Arial" w:hAnsi="Arial" w:cs="Arial"/>
          <w:sz w:val="22"/>
          <w:szCs w:val="22"/>
        </w:rPr>
        <w:t xml:space="preserve">to £4,000 </w:t>
      </w:r>
      <w:r w:rsidRPr="009C5F6B">
        <w:rPr>
          <w:rFonts w:ascii="Arial" w:hAnsi="Arial" w:cs="Arial"/>
          <w:sz w:val="22"/>
          <w:szCs w:val="22"/>
        </w:rPr>
        <w:t>but is no longer universal with several conditions applying</w:t>
      </w:r>
      <w:r>
        <w:rPr>
          <w:rFonts w:ascii="Arial" w:hAnsi="Arial" w:cs="Arial"/>
          <w:sz w:val="22"/>
          <w:szCs w:val="22"/>
        </w:rPr>
        <w:t>. I</w:t>
      </w:r>
      <w:r w:rsidRPr="009C5F6B">
        <w:rPr>
          <w:rFonts w:ascii="Arial" w:hAnsi="Arial" w:cs="Arial"/>
          <w:sz w:val="22"/>
          <w:szCs w:val="22"/>
        </w:rPr>
        <w:t>ncluding that from April 2020, this will be limited to employers with an employer NICs bill below £100,000 in the previous tax year.</w:t>
      </w:r>
    </w:p>
    <w:p w14:paraId="02178907" w14:textId="77777777" w:rsidR="00B67D22" w:rsidRDefault="00B67D22" w:rsidP="00B67D22">
      <w:pPr>
        <w:rPr>
          <w:rFonts w:ascii="Arial" w:hAnsi="Arial" w:cs="Arial"/>
          <w:b/>
          <w:sz w:val="22"/>
          <w:szCs w:val="22"/>
        </w:rPr>
      </w:pPr>
    </w:p>
    <w:p w14:paraId="598B3D61" w14:textId="24E50C59" w:rsidR="00B67D22" w:rsidRPr="009C5F6B" w:rsidRDefault="00B67D22" w:rsidP="00B67D22">
      <w:pPr>
        <w:rPr>
          <w:rFonts w:ascii="Arial" w:hAnsi="Arial" w:cs="Arial"/>
          <w:b/>
          <w:sz w:val="22"/>
          <w:szCs w:val="22"/>
        </w:rPr>
      </w:pPr>
      <w:r w:rsidRPr="009C5F6B">
        <w:rPr>
          <w:rFonts w:ascii="Arial" w:hAnsi="Arial" w:cs="Arial"/>
          <w:b/>
          <w:sz w:val="22"/>
          <w:szCs w:val="22"/>
        </w:rPr>
        <w:t>SSP</w:t>
      </w:r>
    </w:p>
    <w:p w14:paraId="4DBE9EF5" w14:textId="77777777" w:rsidR="00B67D22" w:rsidRPr="009C5F6B" w:rsidRDefault="00B67D22" w:rsidP="00B67D22">
      <w:pPr>
        <w:rPr>
          <w:rFonts w:ascii="Arial" w:hAnsi="Arial" w:cs="Arial"/>
          <w:sz w:val="22"/>
          <w:szCs w:val="22"/>
        </w:rPr>
      </w:pPr>
      <w:r w:rsidRPr="009C5F6B">
        <w:rPr>
          <w:rFonts w:ascii="Arial" w:hAnsi="Arial" w:cs="Arial"/>
          <w:sz w:val="22"/>
          <w:szCs w:val="22"/>
        </w:rPr>
        <w:t>S</w:t>
      </w:r>
      <w:r w:rsidRPr="009C5F6B">
        <w:rPr>
          <w:rFonts w:ascii="Arial" w:hAnsi="Arial" w:cs="Arial"/>
          <w:sz w:val="22"/>
          <w:szCs w:val="22"/>
          <w:lang w:val="x-none"/>
        </w:rPr>
        <w:t>mall and medium-sized businesses</w:t>
      </w:r>
      <w:r w:rsidRPr="009C5F6B">
        <w:rPr>
          <w:rFonts w:ascii="Arial" w:hAnsi="Arial" w:cs="Arial"/>
          <w:sz w:val="22"/>
          <w:szCs w:val="22"/>
        </w:rPr>
        <w:t xml:space="preserve"> </w:t>
      </w:r>
      <w:r w:rsidRPr="009C5F6B">
        <w:rPr>
          <w:rFonts w:ascii="Arial" w:hAnsi="Arial" w:cs="Arial"/>
          <w:sz w:val="22"/>
          <w:szCs w:val="22"/>
          <w:lang w:val="x-none"/>
        </w:rPr>
        <w:t xml:space="preserve">and employers to cope with the extra costs of paying COVID-19 related SSP </w:t>
      </w:r>
      <w:r w:rsidRPr="009C5F6B">
        <w:rPr>
          <w:rFonts w:ascii="Arial" w:hAnsi="Arial" w:cs="Arial"/>
          <w:sz w:val="22"/>
          <w:szCs w:val="22"/>
        </w:rPr>
        <w:t xml:space="preserve">will be refunded for </w:t>
      </w:r>
      <w:r w:rsidRPr="009C5F6B">
        <w:rPr>
          <w:rFonts w:ascii="Arial" w:hAnsi="Arial" w:cs="Arial"/>
          <w:sz w:val="22"/>
          <w:szCs w:val="22"/>
          <w:lang w:val="x-none"/>
        </w:rPr>
        <w:t>eligible</w:t>
      </w:r>
      <w:r w:rsidRPr="009C5F6B">
        <w:rPr>
          <w:rFonts w:ascii="Arial" w:hAnsi="Arial" w:cs="Arial"/>
          <w:sz w:val="22"/>
          <w:szCs w:val="22"/>
        </w:rPr>
        <w:t xml:space="preserve"> </w:t>
      </w:r>
      <w:r w:rsidRPr="009C5F6B">
        <w:rPr>
          <w:rFonts w:ascii="Arial" w:hAnsi="Arial" w:cs="Arial"/>
          <w:sz w:val="22"/>
          <w:szCs w:val="22"/>
          <w:lang w:val="x-none"/>
        </w:rPr>
        <w:t>SSP costs.</w:t>
      </w:r>
      <w:r w:rsidRPr="009C5F6B">
        <w:rPr>
          <w:rFonts w:ascii="Arial" w:hAnsi="Arial" w:cs="Arial"/>
          <w:sz w:val="22"/>
          <w:szCs w:val="22"/>
        </w:rPr>
        <w:t xml:space="preserve"> </w:t>
      </w:r>
    </w:p>
    <w:p w14:paraId="7973DC11" w14:textId="77777777" w:rsidR="00B67D22" w:rsidRPr="00A85E8F" w:rsidRDefault="00B67D22" w:rsidP="00B67D22">
      <w:pPr>
        <w:rPr>
          <w:rFonts w:ascii="Arial" w:hAnsi="Arial" w:cs="Arial"/>
          <w:sz w:val="22"/>
          <w:szCs w:val="22"/>
        </w:rPr>
      </w:pPr>
    </w:p>
    <w:p w14:paraId="6CCE6DF6" w14:textId="77777777" w:rsidR="00B67D22" w:rsidRPr="009C5F6B" w:rsidRDefault="00B67D22" w:rsidP="00B67D22">
      <w:pPr>
        <w:rPr>
          <w:rFonts w:ascii="Arial" w:hAnsi="Arial" w:cs="Arial"/>
          <w:b/>
          <w:bCs/>
          <w:sz w:val="22"/>
          <w:szCs w:val="22"/>
        </w:rPr>
      </w:pPr>
      <w:r w:rsidRPr="009C5F6B">
        <w:rPr>
          <w:rFonts w:ascii="Arial" w:hAnsi="Arial" w:cs="Arial"/>
          <w:b/>
          <w:bCs/>
          <w:sz w:val="22"/>
          <w:szCs w:val="22"/>
        </w:rPr>
        <w:t>Increasing the flat rate tax deduction for home working</w:t>
      </w:r>
    </w:p>
    <w:p w14:paraId="465D64E3" w14:textId="77777777" w:rsidR="00B67D22" w:rsidRPr="009C5F6B" w:rsidRDefault="00B67D22" w:rsidP="00B67D22">
      <w:pPr>
        <w:rPr>
          <w:rFonts w:ascii="Arial" w:hAnsi="Arial" w:cs="Arial"/>
          <w:sz w:val="22"/>
          <w:szCs w:val="22"/>
        </w:rPr>
      </w:pPr>
      <w:r w:rsidRPr="009C5F6B">
        <w:rPr>
          <w:rFonts w:ascii="Arial" w:hAnsi="Arial" w:cs="Arial"/>
          <w:sz w:val="22"/>
          <w:szCs w:val="22"/>
        </w:rPr>
        <w:t>From April 2020 the maximum flat rate Income Tax deduction available to employees to cover additional household expenses has been increased from £4 to £6 per week where they work at home under homeworking arrangements.</w:t>
      </w:r>
    </w:p>
    <w:p w14:paraId="5C7A2963" w14:textId="77777777" w:rsidR="00B67D22" w:rsidRDefault="00B67D22" w:rsidP="00B67D22">
      <w:pPr>
        <w:rPr>
          <w:rFonts w:ascii="Arial" w:hAnsi="Arial" w:cs="Arial"/>
          <w:b/>
          <w:sz w:val="22"/>
          <w:szCs w:val="22"/>
        </w:rPr>
      </w:pPr>
    </w:p>
    <w:p w14:paraId="16AB8F97" w14:textId="77777777" w:rsidR="00B67D22" w:rsidRDefault="00B67D22" w:rsidP="00B67D22">
      <w:pPr>
        <w:rPr>
          <w:rFonts w:ascii="Arial" w:hAnsi="Arial" w:cs="Arial"/>
          <w:b/>
          <w:sz w:val="22"/>
          <w:szCs w:val="22"/>
        </w:rPr>
      </w:pPr>
    </w:p>
    <w:p w14:paraId="55929939" w14:textId="33B3E02B" w:rsidR="00B67D22" w:rsidRDefault="00B67D22" w:rsidP="00B67D22">
      <w:pPr>
        <w:rPr>
          <w:rFonts w:ascii="Arial" w:hAnsi="Arial" w:cs="Arial"/>
          <w:b/>
          <w:sz w:val="22"/>
          <w:szCs w:val="22"/>
        </w:rPr>
      </w:pPr>
      <w:r>
        <w:rPr>
          <w:rFonts w:ascii="Arial" w:hAnsi="Arial" w:cs="Arial"/>
          <w:b/>
          <w:sz w:val="22"/>
          <w:szCs w:val="22"/>
        </w:rPr>
        <w:t>Time to pay</w:t>
      </w:r>
    </w:p>
    <w:p w14:paraId="740D0CE0" w14:textId="77777777" w:rsidR="00B67D22" w:rsidRPr="009C5F6B" w:rsidRDefault="00B67D22" w:rsidP="00B67D22">
      <w:pPr>
        <w:rPr>
          <w:rFonts w:ascii="Arial" w:hAnsi="Arial" w:cs="Arial"/>
          <w:sz w:val="22"/>
          <w:szCs w:val="22"/>
        </w:rPr>
      </w:pPr>
      <w:r w:rsidRPr="009C5F6B">
        <w:rPr>
          <w:rFonts w:ascii="Arial" w:hAnsi="Arial" w:cs="Arial"/>
          <w:sz w:val="22"/>
          <w:szCs w:val="22"/>
        </w:rPr>
        <w:t xml:space="preserve">HMRC has a set up a phone helpline </w:t>
      </w:r>
      <w:r w:rsidRPr="009C5F6B">
        <w:rPr>
          <w:rFonts w:ascii="Arial" w:hAnsi="Arial" w:cs="Arial"/>
          <w:bCs/>
          <w:sz w:val="22"/>
          <w:szCs w:val="22"/>
        </w:rPr>
        <w:t>0800 0159 559</w:t>
      </w:r>
      <w:r w:rsidRPr="009C5F6B">
        <w:rPr>
          <w:rFonts w:ascii="Arial" w:hAnsi="Arial" w:cs="Arial"/>
          <w:sz w:val="22"/>
          <w:szCs w:val="22"/>
        </w:rPr>
        <w:t xml:space="preserve"> to support businesses and self-employed people concerned about not being able to pay their tax due to coronavirus (COVID-19).</w:t>
      </w:r>
    </w:p>
    <w:p w14:paraId="3DC7B12E" w14:textId="77777777" w:rsidR="00B67D22" w:rsidRDefault="00B67D22" w:rsidP="00E67FBB">
      <w:pPr>
        <w:rPr>
          <w:rFonts w:ascii="Arial" w:hAnsi="Arial" w:cs="Arial"/>
          <w:b/>
          <w:sz w:val="22"/>
          <w:szCs w:val="22"/>
        </w:rPr>
      </w:pPr>
    </w:p>
    <w:p w14:paraId="7244BA86" w14:textId="07F42F4F" w:rsidR="00057526" w:rsidRDefault="00057526" w:rsidP="00E67FBB">
      <w:pPr>
        <w:rPr>
          <w:rFonts w:ascii="Arial" w:hAnsi="Arial" w:cs="Arial"/>
          <w:b/>
          <w:sz w:val="22"/>
          <w:szCs w:val="22"/>
        </w:rPr>
      </w:pPr>
      <w:r>
        <w:rPr>
          <w:rFonts w:ascii="Arial" w:hAnsi="Arial" w:cs="Arial"/>
          <w:b/>
          <w:sz w:val="22"/>
          <w:szCs w:val="22"/>
        </w:rPr>
        <w:t>Compliance</w:t>
      </w:r>
    </w:p>
    <w:p w14:paraId="2A99F521" w14:textId="58ACEFEF" w:rsidR="00057526" w:rsidRDefault="00D21829" w:rsidP="00D21829">
      <w:r w:rsidRPr="00D21829">
        <w:rPr>
          <w:rFonts w:ascii="Arial" w:hAnsi="Arial" w:cs="Arial"/>
          <w:sz w:val="22"/>
          <w:szCs w:val="22"/>
        </w:rPr>
        <w:t>HMRC have been given the budget to increase compliance and investigation team headcounts by 1,300, with an expectation that they will raise an additional £4.5bn in tax by 2025, including measures such as a crackdown on taxi firms and scrap metal dealers operating in the grey economy and CIS scheme irregularities</w:t>
      </w:r>
      <w:r>
        <w:t>.</w:t>
      </w:r>
    </w:p>
    <w:p w14:paraId="7D7D88F9" w14:textId="77777777" w:rsidR="00D21829" w:rsidRDefault="00D21829" w:rsidP="00D21829">
      <w:pPr>
        <w:rPr>
          <w:rFonts w:ascii="Arial" w:hAnsi="Arial" w:cs="Arial"/>
          <w:b/>
          <w:sz w:val="22"/>
          <w:szCs w:val="22"/>
        </w:rPr>
      </w:pPr>
    </w:p>
    <w:p w14:paraId="64E09B04" w14:textId="5FA07AF5" w:rsidR="00975420" w:rsidRDefault="00975420" w:rsidP="00E67FBB">
      <w:pPr>
        <w:rPr>
          <w:rFonts w:ascii="Arial" w:hAnsi="Arial" w:cs="Arial"/>
          <w:b/>
          <w:sz w:val="22"/>
          <w:szCs w:val="22"/>
        </w:rPr>
      </w:pPr>
      <w:r>
        <w:rPr>
          <w:rFonts w:ascii="Arial" w:hAnsi="Arial" w:cs="Arial"/>
          <w:b/>
          <w:sz w:val="22"/>
          <w:szCs w:val="22"/>
        </w:rPr>
        <w:t>Pension changes</w:t>
      </w:r>
    </w:p>
    <w:p w14:paraId="4849855C" w14:textId="2AE0AB86" w:rsidR="00975420" w:rsidRPr="00975420" w:rsidRDefault="00975420" w:rsidP="00975420">
      <w:pPr>
        <w:pStyle w:val="Default0"/>
        <w:rPr>
          <w:rFonts w:ascii="Arial" w:hAnsi="Arial" w:cs="Arial"/>
          <w:sz w:val="22"/>
          <w:szCs w:val="22"/>
        </w:rPr>
      </w:pPr>
      <w:r w:rsidRPr="00975420">
        <w:rPr>
          <w:rFonts w:ascii="Arial" w:hAnsi="Arial" w:cs="Arial"/>
          <w:sz w:val="22"/>
          <w:szCs w:val="22"/>
        </w:rPr>
        <w:t xml:space="preserve">From 6 April 2020, the adjusted income limit will rise to £240,000 (increased from £150,000) and the threshold income limit will rise to £200,000 (increased from £110,000). </w:t>
      </w:r>
    </w:p>
    <w:p w14:paraId="1F2DCB5C" w14:textId="6ABD4EE2" w:rsidR="00975420" w:rsidRPr="00975420" w:rsidRDefault="00B67D22" w:rsidP="00975420">
      <w:pPr>
        <w:rPr>
          <w:rFonts w:ascii="Arial" w:hAnsi="Arial" w:cs="Arial"/>
          <w:b/>
          <w:sz w:val="22"/>
          <w:szCs w:val="22"/>
        </w:rPr>
      </w:pPr>
      <w:r w:rsidRPr="00B67D22">
        <w:rPr>
          <w:rFonts w:ascii="Arial" w:hAnsi="Arial" w:cs="Arial"/>
          <w:sz w:val="22"/>
          <w:szCs w:val="22"/>
        </w:rPr>
        <w:t>For higher earners the</w:t>
      </w:r>
      <w:r w:rsidRPr="00975420">
        <w:rPr>
          <w:rFonts w:ascii="Arial" w:hAnsi="Arial" w:cs="Arial"/>
          <w:sz w:val="22"/>
          <w:szCs w:val="22"/>
        </w:rPr>
        <w:t xml:space="preserve"> </w:t>
      </w:r>
      <w:r w:rsidR="00007EA3">
        <w:rPr>
          <w:rFonts w:ascii="Arial" w:hAnsi="Arial" w:cs="Arial"/>
          <w:sz w:val="22"/>
          <w:szCs w:val="22"/>
        </w:rPr>
        <w:t>government</w:t>
      </w:r>
      <w:r w:rsidR="00975420" w:rsidRPr="00975420">
        <w:rPr>
          <w:rFonts w:ascii="Arial" w:hAnsi="Arial" w:cs="Arial"/>
          <w:sz w:val="22"/>
          <w:szCs w:val="22"/>
        </w:rPr>
        <w:t xml:space="preserve"> also reduced the minimum reduced annual allowance that you can have under the tapering rules from £10,000 to £4,000.</w:t>
      </w:r>
    </w:p>
    <w:p w14:paraId="25F4BF95" w14:textId="77777777" w:rsidR="00975420" w:rsidRDefault="00975420" w:rsidP="00E67FBB">
      <w:pPr>
        <w:rPr>
          <w:rFonts w:ascii="Arial" w:hAnsi="Arial" w:cs="Arial"/>
          <w:b/>
          <w:sz w:val="22"/>
          <w:szCs w:val="22"/>
        </w:rPr>
      </w:pPr>
    </w:p>
    <w:p w14:paraId="3C72193B" w14:textId="77777777" w:rsidR="00B67D22" w:rsidRDefault="00B67D22" w:rsidP="00E67FBB">
      <w:pPr>
        <w:rPr>
          <w:rFonts w:ascii="Arial" w:hAnsi="Arial" w:cs="Arial"/>
          <w:b/>
          <w:sz w:val="22"/>
          <w:szCs w:val="22"/>
        </w:rPr>
      </w:pPr>
    </w:p>
    <w:p w14:paraId="56024F77" w14:textId="72518542" w:rsidR="008D1CAC" w:rsidRPr="00A85E8F" w:rsidRDefault="008D1CAC" w:rsidP="00E67FBB">
      <w:pPr>
        <w:rPr>
          <w:rFonts w:ascii="Arial" w:hAnsi="Arial" w:cs="Arial"/>
          <w:b/>
          <w:sz w:val="22"/>
          <w:szCs w:val="22"/>
        </w:rPr>
      </w:pPr>
      <w:r w:rsidRPr="00A85E8F">
        <w:rPr>
          <w:rFonts w:ascii="Arial" w:hAnsi="Arial" w:cs="Arial"/>
          <w:b/>
          <w:sz w:val="22"/>
          <w:szCs w:val="22"/>
        </w:rPr>
        <w:t>Business rates</w:t>
      </w:r>
    </w:p>
    <w:p w14:paraId="2EFC0D9A" w14:textId="1B888F82" w:rsidR="007379C6" w:rsidRPr="00D21829" w:rsidRDefault="00D21829" w:rsidP="00E67FBB">
      <w:pPr>
        <w:rPr>
          <w:rFonts w:ascii="Arial" w:hAnsi="Arial" w:cs="Arial"/>
          <w:sz w:val="22"/>
          <w:szCs w:val="22"/>
        </w:rPr>
      </w:pPr>
      <w:r w:rsidRPr="00D21829">
        <w:rPr>
          <w:rFonts w:ascii="Arial" w:hAnsi="Arial" w:cs="Arial"/>
          <w:sz w:val="22"/>
          <w:szCs w:val="22"/>
        </w:rPr>
        <w:t>From April 2020 the 50% Retail Rates Relief announced earlier this year is increased to 100% from April 2020. This relief will be extended to include retail, leisure and hospitality sectors, meaning a full relief for those with a rateable value under £51,000 in these sectors. Additionally, small business</w:t>
      </w:r>
      <w:r w:rsidR="005749D1">
        <w:rPr>
          <w:rFonts w:ascii="Arial" w:hAnsi="Arial" w:cs="Arial"/>
          <w:sz w:val="22"/>
          <w:szCs w:val="22"/>
        </w:rPr>
        <w:t>es</w:t>
      </w:r>
      <w:r w:rsidRPr="00D21829">
        <w:rPr>
          <w:rFonts w:ascii="Arial" w:hAnsi="Arial" w:cs="Arial"/>
          <w:sz w:val="22"/>
          <w:szCs w:val="22"/>
        </w:rPr>
        <w:t xml:space="preserve"> that qualify for 100% Small Business Rate Relief will be eligible for Small Business Grant Funding of £3000 via local authorities. From April 1 2020 a one year business rates discount of £5000 will be available for pubs with a rateable value below £100,000</w:t>
      </w:r>
      <w:r w:rsidR="00AF49A2">
        <w:rPr>
          <w:rFonts w:ascii="Arial" w:hAnsi="Arial" w:cs="Arial"/>
          <w:sz w:val="22"/>
          <w:szCs w:val="22"/>
        </w:rPr>
        <w:t>.</w:t>
      </w:r>
    </w:p>
    <w:p w14:paraId="62FD8883" w14:textId="77777777" w:rsidR="009C5F6B" w:rsidRDefault="009C5F6B" w:rsidP="00E67FBB">
      <w:pPr>
        <w:rPr>
          <w:rFonts w:ascii="Arial" w:hAnsi="Arial" w:cs="Arial"/>
          <w:b/>
          <w:sz w:val="22"/>
          <w:szCs w:val="22"/>
        </w:rPr>
      </w:pPr>
    </w:p>
    <w:p w14:paraId="16A29E05" w14:textId="03836670" w:rsidR="008D1CAC" w:rsidRPr="00A85E8F" w:rsidRDefault="008D1CAC" w:rsidP="00E67FBB">
      <w:pPr>
        <w:rPr>
          <w:rFonts w:ascii="Arial" w:hAnsi="Arial" w:cs="Arial"/>
          <w:sz w:val="22"/>
          <w:szCs w:val="22"/>
        </w:rPr>
      </w:pPr>
      <w:r w:rsidRPr="00A85E8F">
        <w:rPr>
          <w:rFonts w:ascii="Arial" w:hAnsi="Arial" w:cs="Arial"/>
          <w:b/>
          <w:sz w:val="22"/>
          <w:szCs w:val="22"/>
        </w:rPr>
        <w:t>Apprenticeships</w:t>
      </w:r>
    </w:p>
    <w:p w14:paraId="7794EDD2" w14:textId="19DF0316" w:rsidR="008D1CAC" w:rsidRPr="00A85E8F" w:rsidRDefault="008D1CAC" w:rsidP="00E67FBB">
      <w:pPr>
        <w:rPr>
          <w:rFonts w:ascii="Arial" w:eastAsiaTheme="minorHAnsi" w:hAnsi="Arial" w:cs="Arial"/>
          <w:color w:val="0000FF" w:themeColor="hyperlink"/>
          <w:sz w:val="22"/>
          <w:szCs w:val="22"/>
          <w:u w:val="single"/>
        </w:rPr>
      </w:pPr>
      <w:r w:rsidRPr="00A85E8F">
        <w:rPr>
          <w:rFonts w:ascii="Arial" w:hAnsi="Arial" w:cs="Arial"/>
          <w:sz w:val="22"/>
          <w:szCs w:val="22"/>
        </w:rPr>
        <w:t xml:space="preserve">SMEs </w:t>
      </w:r>
      <w:r w:rsidR="009F380D">
        <w:rPr>
          <w:rFonts w:ascii="Arial" w:hAnsi="Arial" w:cs="Arial"/>
          <w:sz w:val="22"/>
          <w:szCs w:val="22"/>
        </w:rPr>
        <w:t xml:space="preserve">should register </w:t>
      </w:r>
      <w:r w:rsidR="00007EA3">
        <w:rPr>
          <w:rFonts w:ascii="Arial" w:hAnsi="Arial" w:cs="Arial"/>
          <w:sz w:val="22"/>
          <w:szCs w:val="22"/>
        </w:rPr>
        <w:t xml:space="preserve">on the </w:t>
      </w:r>
      <w:hyperlink r:id="rId12" w:history="1">
        <w:r w:rsidR="00007EA3" w:rsidRPr="00007EA3">
          <w:rPr>
            <w:rStyle w:val="Hyperlink"/>
            <w:rFonts w:ascii="Arial" w:hAnsi="Arial" w:cs="Arial"/>
            <w:sz w:val="22"/>
            <w:szCs w:val="22"/>
          </w:rPr>
          <w:t>apprenticeship employer hub</w:t>
        </w:r>
      </w:hyperlink>
      <w:r w:rsidR="00007EA3">
        <w:rPr>
          <w:rFonts w:ascii="Arial" w:hAnsi="Arial" w:cs="Arial"/>
          <w:sz w:val="22"/>
          <w:szCs w:val="22"/>
        </w:rPr>
        <w:t xml:space="preserve"> </w:t>
      </w:r>
      <w:r w:rsidR="009F380D">
        <w:rPr>
          <w:rFonts w:ascii="Arial" w:hAnsi="Arial" w:cs="Arial"/>
          <w:sz w:val="22"/>
          <w:szCs w:val="22"/>
        </w:rPr>
        <w:t>before the end of the month to benefit from Apprenticeship levy funding</w:t>
      </w:r>
      <w:r w:rsidRPr="00A85E8F">
        <w:rPr>
          <w:rFonts w:ascii="Arial" w:hAnsi="Arial" w:cs="Arial"/>
          <w:sz w:val="22"/>
          <w:szCs w:val="22"/>
        </w:rPr>
        <w:t xml:space="preserve">. </w:t>
      </w:r>
      <w:r w:rsidRPr="00A85E8F">
        <w:rPr>
          <w:rFonts w:ascii="Arial" w:eastAsiaTheme="minorHAnsi" w:hAnsi="Arial" w:cs="Arial"/>
          <w:sz w:val="22"/>
          <w:szCs w:val="22"/>
        </w:rPr>
        <w:t xml:space="preserve">You can find out more about ACCA Apprenticeship Programmes </w:t>
      </w:r>
      <w:hyperlink r:id="rId13" w:history="1">
        <w:r w:rsidRPr="00A85E8F">
          <w:rPr>
            <w:rFonts w:ascii="Arial" w:eastAsiaTheme="minorHAnsi" w:hAnsi="Arial" w:cs="Arial"/>
            <w:color w:val="0000FF" w:themeColor="hyperlink"/>
            <w:sz w:val="22"/>
            <w:szCs w:val="22"/>
            <w:u w:val="single"/>
          </w:rPr>
          <w:t>here</w:t>
        </w:r>
      </w:hyperlink>
      <w:r w:rsidR="00AF49A2">
        <w:rPr>
          <w:rFonts w:ascii="Arial" w:eastAsiaTheme="minorHAnsi" w:hAnsi="Arial" w:cs="Arial"/>
          <w:color w:val="0000FF" w:themeColor="hyperlink"/>
          <w:sz w:val="22"/>
          <w:szCs w:val="22"/>
          <w:u w:val="single"/>
        </w:rPr>
        <w:t>.</w:t>
      </w:r>
    </w:p>
    <w:p w14:paraId="134D6509" w14:textId="5F88B044" w:rsidR="007379C6" w:rsidRPr="00A85E8F" w:rsidRDefault="007379C6" w:rsidP="008D1CAC">
      <w:pPr>
        <w:rPr>
          <w:rFonts w:ascii="Arial" w:hAnsi="Arial" w:cs="Arial"/>
          <w:sz w:val="22"/>
          <w:szCs w:val="22"/>
          <w:lang w:eastAsia="en-GB"/>
        </w:rPr>
      </w:pPr>
    </w:p>
    <w:p w14:paraId="1B29CFCE" w14:textId="0A0A9EB7" w:rsidR="007379C6" w:rsidRDefault="007379C6" w:rsidP="007379C6">
      <w:pPr>
        <w:rPr>
          <w:rFonts w:ascii="Arial" w:hAnsi="Arial" w:cs="Arial"/>
          <w:b/>
          <w:sz w:val="22"/>
          <w:szCs w:val="22"/>
        </w:rPr>
      </w:pPr>
      <w:r w:rsidRPr="00A85E8F">
        <w:rPr>
          <w:rFonts w:ascii="Arial" w:hAnsi="Arial" w:cs="Arial"/>
          <w:b/>
          <w:sz w:val="22"/>
          <w:szCs w:val="22"/>
        </w:rPr>
        <w:t>R&amp;D</w:t>
      </w:r>
    </w:p>
    <w:p w14:paraId="54777E03" w14:textId="68A0774E" w:rsidR="00057526" w:rsidRPr="00057526" w:rsidRDefault="00057526" w:rsidP="007379C6">
      <w:pPr>
        <w:rPr>
          <w:rFonts w:ascii="Arial" w:hAnsi="Arial" w:cs="Arial"/>
          <w:b/>
          <w:sz w:val="22"/>
          <w:szCs w:val="22"/>
        </w:rPr>
      </w:pPr>
      <w:r w:rsidRPr="00057526">
        <w:rPr>
          <w:rFonts w:ascii="Arial" w:hAnsi="Arial" w:cs="Arial"/>
          <w:color w:val="0B0C0C"/>
          <w:sz w:val="22"/>
          <w:szCs w:val="22"/>
        </w:rPr>
        <w:t xml:space="preserve">Research &amp; Development Expenditure Credit (RDEC) rate increases from 12% to 13% from 1 April 2020. The </w:t>
      </w:r>
      <w:proofErr w:type="gramStart"/>
      <w:r w:rsidRPr="00057526">
        <w:rPr>
          <w:rFonts w:ascii="Arial" w:hAnsi="Arial" w:cs="Arial"/>
          <w:color w:val="0B0C0C"/>
          <w:sz w:val="22"/>
          <w:szCs w:val="22"/>
        </w:rPr>
        <w:t>changes to the PAYE cap on the payable tax credit in the SME R&amp;D schemes has</w:t>
      </w:r>
      <w:proofErr w:type="gramEnd"/>
      <w:r w:rsidRPr="00057526">
        <w:rPr>
          <w:rFonts w:ascii="Arial" w:hAnsi="Arial" w:cs="Arial"/>
          <w:color w:val="0B0C0C"/>
          <w:sz w:val="22"/>
          <w:szCs w:val="22"/>
        </w:rPr>
        <w:t xml:space="preserve"> been delayed until April 2021.</w:t>
      </w:r>
    </w:p>
    <w:p w14:paraId="177B3A7E" w14:textId="77777777" w:rsidR="007379C6" w:rsidRPr="00A85E8F" w:rsidRDefault="007379C6" w:rsidP="007379C6">
      <w:pPr>
        <w:rPr>
          <w:rFonts w:ascii="Arial" w:hAnsi="Arial" w:cs="Arial"/>
          <w:b/>
          <w:bCs/>
          <w:sz w:val="22"/>
          <w:szCs w:val="22"/>
          <w:lang w:val="en-US"/>
        </w:rPr>
      </w:pPr>
      <w:r w:rsidRPr="00A85E8F">
        <w:rPr>
          <w:rFonts w:ascii="Arial" w:hAnsi="Arial" w:cs="Arial"/>
          <w:color w:val="333333"/>
          <w:sz w:val="22"/>
          <w:szCs w:val="22"/>
          <w:lang w:eastAsia="en-GB"/>
        </w:rPr>
        <w:br/>
      </w:r>
      <w:r w:rsidRPr="00A85E8F">
        <w:rPr>
          <w:rFonts w:ascii="Arial" w:hAnsi="Arial" w:cs="Arial"/>
          <w:b/>
          <w:bCs/>
          <w:sz w:val="22"/>
          <w:szCs w:val="22"/>
          <w:lang w:val="en-US"/>
        </w:rPr>
        <w:t>IHT</w:t>
      </w:r>
    </w:p>
    <w:p w14:paraId="6D7FA932" w14:textId="16E3F35F" w:rsidR="007379C6" w:rsidRPr="00A85E8F" w:rsidRDefault="007379C6" w:rsidP="007379C6">
      <w:pPr>
        <w:rPr>
          <w:rFonts w:ascii="Arial" w:hAnsi="Arial" w:cs="Arial"/>
          <w:bCs/>
          <w:sz w:val="22"/>
          <w:szCs w:val="22"/>
          <w:lang w:val="en"/>
        </w:rPr>
      </w:pPr>
      <w:r w:rsidRPr="00A85E8F">
        <w:rPr>
          <w:rFonts w:ascii="Arial" w:hAnsi="Arial" w:cs="Arial"/>
          <w:bCs/>
          <w:sz w:val="22"/>
          <w:szCs w:val="22"/>
          <w:lang w:val="en-US"/>
        </w:rPr>
        <w:t>The Nil-rate band remains at £325,000. The residence nil-rate band f</w:t>
      </w:r>
      <w:r w:rsidRPr="00A85E8F">
        <w:rPr>
          <w:rFonts w:ascii="Arial" w:hAnsi="Arial" w:cs="Arial"/>
          <w:bCs/>
          <w:sz w:val="22"/>
          <w:szCs w:val="22"/>
          <w:lang w:val="en"/>
        </w:rPr>
        <w:t xml:space="preserve">or deaths in the following tax years </w:t>
      </w:r>
      <w:r w:rsidR="00975420">
        <w:rPr>
          <w:rFonts w:ascii="Arial" w:hAnsi="Arial" w:cs="Arial"/>
          <w:bCs/>
          <w:sz w:val="22"/>
          <w:szCs w:val="22"/>
          <w:lang w:val="en"/>
        </w:rPr>
        <w:t>are</w:t>
      </w:r>
      <w:r w:rsidRPr="00A85E8F">
        <w:rPr>
          <w:rFonts w:ascii="Arial" w:hAnsi="Arial" w:cs="Arial"/>
          <w:bCs/>
          <w:sz w:val="22"/>
          <w:szCs w:val="22"/>
          <w:lang w:val="en"/>
        </w:rPr>
        <w:t>:</w:t>
      </w:r>
    </w:p>
    <w:p w14:paraId="558AD08F" w14:textId="77777777" w:rsidR="007379C6" w:rsidRPr="00A85E8F" w:rsidRDefault="007379C6" w:rsidP="007379C6">
      <w:pPr>
        <w:rPr>
          <w:rFonts w:ascii="Arial" w:hAnsi="Arial" w:cs="Arial"/>
          <w:bCs/>
          <w:sz w:val="22"/>
          <w:szCs w:val="22"/>
          <w:lang w:val="en-US"/>
        </w:rPr>
      </w:pPr>
    </w:p>
    <w:p w14:paraId="1F530384" w14:textId="77777777" w:rsidR="00975420" w:rsidRDefault="007379C6" w:rsidP="00975420">
      <w:pPr>
        <w:pStyle w:val="ListParagraph"/>
        <w:numPr>
          <w:ilvl w:val="0"/>
          <w:numId w:val="24"/>
        </w:numPr>
        <w:rPr>
          <w:rFonts w:ascii="Arial" w:hAnsi="Arial" w:cs="Arial"/>
          <w:bCs/>
          <w:lang w:val="en"/>
        </w:rPr>
      </w:pPr>
      <w:r w:rsidRPr="00975420">
        <w:rPr>
          <w:rFonts w:ascii="Arial" w:hAnsi="Arial" w:cs="Arial"/>
          <w:bCs/>
          <w:lang w:val="en"/>
        </w:rPr>
        <w:t>£100,000 in 2017 to 2018</w:t>
      </w:r>
      <w:r w:rsidR="00BD6460" w:rsidRPr="00975420">
        <w:rPr>
          <w:rFonts w:ascii="Arial" w:hAnsi="Arial" w:cs="Arial"/>
          <w:bCs/>
          <w:lang w:val="en"/>
        </w:rPr>
        <w:t xml:space="preserve">     </w:t>
      </w:r>
    </w:p>
    <w:p w14:paraId="022B4909" w14:textId="77777777" w:rsidR="00D21829" w:rsidRDefault="007379C6" w:rsidP="00D21829">
      <w:pPr>
        <w:pStyle w:val="ListParagraph"/>
        <w:numPr>
          <w:ilvl w:val="0"/>
          <w:numId w:val="24"/>
        </w:numPr>
        <w:rPr>
          <w:rFonts w:ascii="Arial" w:hAnsi="Arial" w:cs="Arial"/>
          <w:bCs/>
          <w:lang w:val="en"/>
        </w:rPr>
      </w:pPr>
      <w:r w:rsidRPr="00975420">
        <w:rPr>
          <w:rFonts w:ascii="Arial" w:hAnsi="Arial" w:cs="Arial"/>
          <w:bCs/>
          <w:lang w:val="en"/>
        </w:rPr>
        <w:t>£125,000 in 2018 to 2019</w:t>
      </w:r>
    </w:p>
    <w:p w14:paraId="41AABC46" w14:textId="77777777" w:rsidR="00D21829" w:rsidRDefault="007379C6" w:rsidP="00D21829">
      <w:pPr>
        <w:pStyle w:val="ListParagraph"/>
        <w:numPr>
          <w:ilvl w:val="0"/>
          <w:numId w:val="24"/>
        </w:numPr>
        <w:rPr>
          <w:rFonts w:ascii="Arial" w:hAnsi="Arial" w:cs="Arial"/>
          <w:bCs/>
          <w:lang w:val="en"/>
        </w:rPr>
      </w:pPr>
      <w:r w:rsidRPr="00D21829">
        <w:rPr>
          <w:rFonts w:ascii="Arial" w:hAnsi="Arial" w:cs="Arial"/>
          <w:bCs/>
          <w:lang w:val="en"/>
        </w:rPr>
        <w:t>£150,000 in 2019 to 2020</w:t>
      </w:r>
      <w:r w:rsidR="00BD6460" w:rsidRPr="00D21829">
        <w:rPr>
          <w:rFonts w:ascii="Arial" w:hAnsi="Arial" w:cs="Arial"/>
          <w:bCs/>
          <w:lang w:val="en"/>
        </w:rPr>
        <w:t xml:space="preserve">     </w:t>
      </w:r>
    </w:p>
    <w:p w14:paraId="63D5A51F" w14:textId="04656A46" w:rsidR="007379C6" w:rsidRPr="00D21829" w:rsidRDefault="007379C6" w:rsidP="00D21829">
      <w:pPr>
        <w:pStyle w:val="ListParagraph"/>
        <w:numPr>
          <w:ilvl w:val="0"/>
          <w:numId w:val="24"/>
        </w:numPr>
        <w:rPr>
          <w:rFonts w:ascii="Arial" w:hAnsi="Arial" w:cs="Arial"/>
          <w:bCs/>
          <w:lang w:val="en"/>
        </w:rPr>
      </w:pPr>
      <w:r w:rsidRPr="00D21829">
        <w:rPr>
          <w:rFonts w:ascii="Arial" w:hAnsi="Arial" w:cs="Arial"/>
          <w:bCs/>
          <w:lang w:val="en"/>
        </w:rPr>
        <w:t>£175,000 in 2020 to 2021</w:t>
      </w:r>
    </w:p>
    <w:p w14:paraId="162C798B" w14:textId="77777777" w:rsidR="007379C6" w:rsidRPr="00A85E8F" w:rsidRDefault="007379C6" w:rsidP="008D1CAC">
      <w:pPr>
        <w:rPr>
          <w:rFonts w:ascii="Arial" w:hAnsi="Arial" w:cs="Arial"/>
          <w:sz w:val="22"/>
          <w:szCs w:val="22"/>
          <w:lang w:eastAsia="en-GB"/>
        </w:rPr>
      </w:pPr>
    </w:p>
    <w:p w14:paraId="433F96D2" w14:textId="77777777" w:rsidR="007379C6" w:rsidRPr="00A85E8F" w:rsidRDefault="007379C6" w:rsidP="007379C6">
      <w:pPr>
        <w:rPr>
          <w:rFonts w:ascii="Arial" w:hAnsi="Arial" w:cs="Arial"/>
          <w:b/>
          <w:sz w:val="22"/>
          <w:szCs w:val="22"/>
        </w:rPr>
      </w:pPr>
      <w:r w:rsidRPr="00A85E8F">
        <w:rPr>
          <w:rFonts w:ascii="Arial" w:hAnsi="Arial" w:cs="Arial"/>
          <w:b/>
          <w:sz w:val="22"/>
          <w:szCs w:val="22"/>
        </w:rPr>
        <w:t>Interest relief for landlords</w:t>
      </w:r>
    </w:p>
    <w:p w14:paraId="7989E182" w14:textId="77777777" w:rsidR="007379C6" w:rsidRPr="00A85E8F" w:rsidRDefault="007379C6" w:rsidP="007379C6">
      <w:pPr>
        <w:rPr>
          <w:rFonts w:ascii="Arial" w:hAnsi="Arial" w:cs="Arial"/>
          <w:sz w:val="22"/>
          <w:szCs w:val="22"/>
        </w:rPr>
      </w:pPr>
      <w:r w:rsidRPr="00A85E8F">
        <w:rPr>
          <w:rFonts w:ascii="Arial" w:hAnsi="Arial" w:cs="Arial"/>
          <w:sz w:val="22"/>
          <w:szCs w:val="22"/>
        </w:rPr>
        <w:t>Landlords will be able to obtain relief as follows:</w:t>
      </w:r>
    </w:p>
    <w:p w14:paraId="399D35A8" w14:textId="77777777" w:rsidR="007379C6" w:rsidRPr="00A85E8F" w:rsidRDefault="007379C6" w:rsidP="007379C6">
      <w:pPr>
        <w:rPr>
          <w:rFonts w:ascii="Arial" w:hAnsi="Arial" w:cs="Arial"/>
          <w:sz w:val="22"/>
          <w:szCs w:val="22"/>
        </w:rPr>
      </w:pP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t>Finance cost allowed in full</w:t>
      </w:r>
      <w:r w:rsidRPr="00A85E8F">
        <w:rPr>
          <w:rFonts w:ascii="Arial" w:hAnsi="Arial" w:cs="Arial"/>
          <w:sz w:val="22"/>
          <w:szCs w:val="22"/>
        </w:rPr>
        <w:tab/>
      </w:r>
      <w:r w:rsidRPr="00A85E8F">
        <w:rPr>
          <w:rFonts w:ascii="Arial" w:hAnsi="Arial" w:cs="Arial"/>
          <w:sz w:val="22"/>
          <w:szCs w:val="22"/>
        </w:rPr>
        <w:tab/>
        <w:t>Finance cost allowed at basic rate</w:t>
      </w:r>
    </w:p>
    <w:p w14:paraId="57848207" w14:textId="77777777" w:rsidR="007379C6" w:rsidRPr="00A85E8F" w:rsidRDefault="007379C6" w:rsidP="007379C6">
      <w:pPr>
        <w:rPr>
          <w:rFonts w:ascii="Arial" w:hAnsi="Arial" w:cs="Arial"/>
          <w:sz w:val="22"/>
          <w:szCs w:val="22"/>
        </w:rPr>
      </w:pPr>
      <w:r w:rsidRPr="00A85E8F">
        <w:rPr>
          <w:rFonts w:ascii="Arial" w:hAnsi="Arial" w:cs="Arial"/>
          <w:sz w:val="22"/>
          <w:szCs w:val="22"/>
        </w:rPr>
        <w:t>Year to 5 April 2020</w:t>
      </w:r>
      <w:r w:rsidRPr="00A85E8F">
        <w:rPr>
          <w:rFonts w:ascii="Arial" w:hAnsi="Arial" w:cs="Arial"/>
          <w:sz w:val="22"/>
          <w:szCs w:val="22"/>
        </w:rPr>
        <w:tab/>
      </w:r>
      <w:r w:rsidRPr="00A85E8F">
        <w:rPr>
          <w:rFonts w:ascii="Arial" w:hAnsi="Arial" w:cs="Arial"/>
          <w:sz w:val="22"/>
          <w:szCs w:val="22"/>
        </w:rPr>
        <w:tab/>
        <w:t>25%</w:t>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t>75%</w:t>
      </w:r>
    </w:p>
    <w:p w14:paraId="117D2255" w14:textId="77777777" w:rsidR="007379C6" w:rsidRPr="00A85E8F" w:rsidRDefault="007379C6" w:rsidP="007379C6">
      <w:pPr>
        <w:rPr>
          <w:rFonts w:ascii="Arial" w:hAnsi="Arial" w:cs="Arial"/>
          <w:sz w:val="22"/>
          <w:szCs w:val="22"/>
        </w:rPr>
      </w:pPr>
      <w:r w:rsidRPr="00A85E8F">
        <w:rPr>
          <w:rFonts w:ascii="Arial" w:hAnsi="Arial" w:cs="Arial"/>
          <w:sz w:val="22"/>
          <w:szCs w:val="22"/>
        </w:rPr>
        <w:t>Year to 5 April 2021</w:t>
      </w:r>
      <w:r w:rsidRPr="00A85E8F">
        <w:rPr>
          <w:rFonts w:ascii="Arial" w:hAnsi="Arial" w:cs="Arial"/>
          <w:sz w:val="22"/>
          <w:szCs w:val="22"/>
        </w:rPr>
        <w:tab/>
      </w:r>
      <w:r w:rsidRPr="00A85E8F">
        <w:rPr>
          <w:rFonts w:ascii="Arial" w:hAnsi="Arial" w:cs="Arial"/>
          <w:sz w:val="22"/>
          <w:szCs w:val="22"/>
        </w:rPr>
        <w:tab/>
        <w:t>0%</w:t>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r>
      <w:r w:rsidRPr="00A85E8F">
        <w:rPr>
          <w:rFonts w:ascii="Arial" w:hAnsi="Arial" w:cs="Arial"/>
          <w:sz w:val="22"/>
          <w:szCs w:val="22"/>
        </w:rPr>
        <w:tab/>
        <w:t>100%</w:t>
      </w:r>
    </w:p>
    <w:p w14:paraId="7782956A" w14:textId="77777777" w:rsidR="00B67D22" w:rsidRDefault="00B67D22" w:rsidP="00B67D22">
      <w:pPr>
        <w:rPr>
          <w:rFonts w:ascii="Arial" w:hAnsi="Arial" w:cs="Arial"/>
          <w:b/>
          <w:sz w:val="22"/>
          <w:szCs w:val="22"/>
        </w:rPr>
      </w:pPr>
    </w:p>
    <w:p w14:paraId="67AB0C1A" w14:textId="77777777" w:rsidR="00B67D22" w:rsidRPr="00A85E8F" w:rsidRDefault="00B67D22" w:rsidP="00B67D22">
      <w:pPr>
        <w:rPr>
          <w:rFonts w:ascii="Arial" w:hAnsi="Arial" w:cs="Arial"/>
          <w:b/>
          <w:sz w:val="22"/>
          <w:szCs w:val="22"/>
        </w:rPr>
      </w:pPr>
      <w:r w:rsidRPr="00A85E8F">
        <w:rPr>
          <w:rFonts w:ascii="Arial" w:hAnsi="Arial" w:cs="Arial"/>
          <w:b/>
          <w:sz w:val="22"/>
          <w:szCs w:val="22"/>
        </w:rPr>
        <w:t>Phoenix and insolvent companies</w:t>
      </w:r>
    </w:p>
    <w:p w14:paraId="27FC2062" w14:textId="77777777" w:rsidR="00B67D22" w:rsidRPr="00A85E8F" w:rsidRDefault="00B67D22" w:rsidP="00B67D22">
      <w:pPr>
        <w:rPr>
          <w:rFonts w:ascii="Arial" w:hAnsi="Arial" w:cs="Arial"/>
          <w:b/>
          <w:sz w:val="22"/>
          <w:szCs w:val="22"/>
        </w:rPr>
      </w:pPr>
      <w:r>
        <w:rPr>
          <w:rFonts w:ascii="Arial" w:hAnsi="Arial" w:cs="Arial"/>
          <w:bCs/>
          <w:sz w:val="22"/>
          <w:szCs w:val="22"/>
        </w:rPr>
        <w:t>T</w:t>
      </w:r>
      <w:r w:rsidRPr="00A85E8F">
        <w:rPr>
          <w:rFonts w:ascii="Arial" w:hAnsi="Arial" w:cs="Arial"/>
          <w:bCs/>
          <w:sz w:val="22"/>
          <w:szCs w:val="22"/>
        </w:rPr>
        <w:t xml:space="preserve">he government </w:t>
      </w:r>
      <w:r>
        <w:rPr>
          <w:rFonts w:ascii="Arial" w:hAnsi="Arial" w:cs="Arial"/>
          <w:bCs/>
          <w:sz w:val="22"/>
          <w:szCs w:val="22"/>
        </w:rPr>
        <w:t xml:space="preserve">pushed back the </w:t>
      </w:r>
      <w:r w:rsidRPr="00A85E8F">
        <w:rPr>
          <w:rFonts w:ascii="Arial" w:hAnsi="Arial" w:cs="Arial"/>
          <w:bCs/>
          <w:sz w:val="22"/>
          <w:szCs w:val="22"/>
        </w:rPr>
        <w:t>change the rules when a business enters insolvency HMRC will be a preferential creditor</w:t>
      </w:r>
      <w:r>
        <w:rPr>
          <w:rFonts w:ascii="Arial" w:hAnsi="Arial" w:cs="Arial"/>
          <w:bCs/>
          <w:sz w:val="22"/>
          <w:szCs w:val="22"/>
        </w:rPr>
        <w:t xml:space="preserve"> to 1 December 2020.</w:t>
      </w:r>
      <w:r w:rsidRPr="00A85E8F">
        <w:rPr>
          <w:rFonts w:ascii="Arial" w:hAnsi="Arial" w:cs="Arial"/>
          <w:bCs/>
          <w:sz w:val="22"/>
          <w:szCs w:val="22"/>
        </w:rPr>
        <w:t xml:space="preserve"> </w:t>
      </w:r>
    </w:p>
    <w:p w14:paraId="5F28D99D" w14:textId="77777777" w:rsidR="00B67D22" w:rsidRDefault="00B67D22" w:rsidP="007379C6">
      <w:pPr>
        <w:rPr>
          <w:rFonts w:ascii="Arial" w:hAnsi="Arial" w:cs="Arial"/>
          <w:b/>
          <w:sz w:val="22"/>
          <w:szCs w:val="22"/>
        </w:rPr>
      </w:pPr>
    </w:p>
    <w:p w14:paraId="278D1A47" w14:textId="77777777" w:rsidR="00B67D22" w:rsidRDefault="00B67D22" w:rsidP="007379C6">
      <w:pPr>
        <w:rPr>
          <w:rFonts w:ascii="Arial" w:hAnsi="Arial" w:cs="Arial"/>
          <w:b/>
          <w:sz w:val="22"/>
          <w:szCs w:val="22"/>
        </w:rPr>
      </w:pPr>
    </w:p>
    <w:p w14:paraId="59190C4C" w14:textId="3D314E14" w:rsidR="007379C6" w:rsidRPr="00A85E8F" w:rsidRDefault="007379C6" w:rsidP="007379C6">
      <w:pPr>
        <w:rPr>
          <w:rFonts w:ascii="Arial" w:hAnsi="Arial" w:cs="Arial"/>
          <w:b/>
          <w:sz w:val="22"/>
          <w:szCs w:val="22"/>
        </w:rPr>
      </w:pPr>
      <w:r w:rsidRPr="00A85E8F">
        <w:rPr>
          <w:rFonts w:ascii="Arial" w:hAnsi="Arial" w:cs="Arial"/>
          <w:b/>
          <w:sz w:val="22"/>
          <w:szCs w:val="22"/>
        </w:rPr>
        <w:t>ATED</w:t>
      </w:r>
    </w:p>
    <w:p w14:paraId="669F74C2" w14:textId="5D71E5F2" w:rsidR="009C5F6B" w:rsidRPr="009C5F6B" w:rsidRDefault="009C5F6B" w:rsidP="009C5F6B">
      <w:pPr>
        <w:rPr>
          <w:rFonts w:ascii="Arial" w:hAnsi="Arial" w:cs="Arial"/>
          <w:sz w:val="22"/>
          <w:szCs w:val="22"/>
        </w:rPr>
      </w:pPr>
      <w:r w:rsidRPr="009C5F6B">
        <w:rPr>
          <w:rFonts w:ascii="Arial" w:hAnsi="Arial" w:cs="Arial"/>
          <w:sz w:val="22"/>
          <w:szCs w:val="22"/>
        </w:rPr>
        <w:lastRenderedPageBreak/>
        <w:t xml:space="preserve">The ATED charges increase automatically each year in line with inflation (based on the previous September’s CPI). </w:t>
      </w:r>
    </w:p>
    <w:p w14:paraId="766055D4" w14:textId="77777777" w:rsidR="007379C6" w:rsidRPr="00A85E8F" w:rsidRDefault="007379C6" w:rsidP="007379C6">
      <w:pPr>
        <w:rPr>
          <w:rFonts w:ascii="Arial" w:hAnsi="Arial" w:cs="Arial"/>
          <w:sz w:val="22"/>
          <w:szCs w:val="22"/>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4911"/>
        <w:gridCol w:w="1843"/>
        <w:gridCol w:w="283"/>
        <w:gridCol w:w="2091"/>
      </w:tblGrid>
      <w:tr w:rsidR="00D21829" w:rsidRPr="00D21829" w14:paraId="6EA676F8" w14:textId="77777777" w:rsidTr="00B67D22">
        <w:trPr>
          <w:trHeight w:val="255"/>
        </w:trPr>
        <w:tc>
          <w:tcPr>
            <w:tcW w:w="5147" w:type="dxa"/>
            <w:gridSpan w:val="2"/>
            <w:shd w:val="clear" w:color="auto" w:fill="D9D9D9"/>
            <w:noWrap/>
            <w:vAlign w:val="bottom"/>
          </w:tcPr>
          <w:p w14:paraId="68C9A372" w14:textId="77777777" w:rsidR="00D21829" w:rsidRPr="00D21829" w:rsidRDefault="00D21829" w:rsidP="00266F07">
            <w:pPr>
              <w:rPr>
                <w:rFonts w:ascii="Arial" w:hAnsi="Arial" w:cs="Arial"/>
                <w:sz w:val="22"/>
                <w:szCs w:val="22"/>
                <w:lang w:eastAsia="en-GB"/>
              </w:rPr>
            </w:pPr>
          </w:p>
        </w:tc>
        <w:tc>
          <w:tcPr>
            <w:tcW w:w="1843" w:type="dxa"/>
            <w:shd w:val="clear" w:color="auto" w:fill="D9D9D9"/>
            <w:noWrap/>
            <w:vAlign w:val="bottom"/>
          </w:tcPr>
          <w:p w14:paraId="1A9028F4" w14:textId="77777777" w:rsidR="00D21829" w:rsidRPr="00D21829" w:rsidRDefault="00D21829" w:rsidP="00266F07">
            <w:pPr>
              <w:jc w:val="center"/>
              <w:rPr>
                <w:rFonts w:ascii="Arial" w:hAnsi="Arial" w:cs="Arial"/>
                <w:b/>
                <w:bCs/>
                <w:sz w:val="22"/>
                <w:szCs w:val="22"/>
                <w:lang w:eastAsia="en-GB"/>
              </w:rPr>
            </w:pPr>
            <w:r w:rsidRPr="00D21829">
              <w:rPr>
                <w:rFonts w:ascii="Arial" w:hAnsi="Arial" w:cs="Arial"/>
                <w:b/>
                <w:bCs/>
                <w:sz w:val="22"/>
                <w:szCs w:val="22"/>
                <w:lang w:eastAsia="en-GB"/>
              </w:rPr>
              <w:t>2019/20</w:t>
            </w:r>
          </w:p>
        </w:tc>
        <w:tc>
          <w:tcPr>
            <w:tcW w:w="283" w:type="dxa"/>
            <w:shd w:val="clear" w:color="auto" w:fill="D9D9D9"/>
          </w:tcPr>
          <w:p w14:paraId="50464423" w14:textId="77777777" w:rsidR="00D21829" w:rsidRPr="00D21829" w:rsidRDefault="00D21829" w:rsidP="00266F07">
            <w:pPr>
              <w:jc w:val="center"/>
              <w:rPr>
                <w:rFonts w:ascii="Arial" w:hAnsi="Arial" w:cs="Arial"/>
                <w:b/>
                <w:bCs/>
                <w:sz w:val="22"/>
                <w:szCs w:val="22"/>
                <w:lang w:eastAsia="en-GB"/>
              </w:rPr>
            </w:pPr>
          </w:p>
        </w:tc>
        <w:tc>
          <w:tcPr>
            <w:tcW w:w="2091" w:type="dxa"/>
            <w:shd w:val="clear" w:color="auto" w:fill="D9D9D9"/>
            <w:noWrap/>
            <w:vAlign w:val="bottom"/>
          </w:tcPr>
          <w:p w14:paraId="277FD8A2" w14:textId="6FCAC075" w:rsidR="00D21829" w:rsidRPr="00D21829" w:rsidRDefault="00D21829" w:rsidP="00266F07">
            <w:pPr>
              <w:jc w:val="center"/>
              <w:rPr>
                <w:rFonts w:ascii="Arial" w:hAnsi="Arial" w:cs="Arial"/>
                <w:b/>
                <w:bCs/>
                <w:sz w:val="22"/>
                <w:szCs w:val="22"/>
                <w:lang w:eastAsia="en-GB"/>
              </w:rPr>
            </w:pPr>
            <w:r w:rsidRPr="00D21829">
              <w:rPr>
                <w:rFonts w:ascii="Arial" w:hAnsi="Arial" w:cs="Arial"/>
                <w:b/>
                <w:bCs/>
                <w:sz w:val="22"/>
                <w:szCs w:val="22"/>
                <w:lang w:eastAsia="en-GB"/>
              </w:rPr>
              <w:t>2020/2021</w:t>
            </w:r>
          </w:p>
        </w:tc>
      </w:tr>
      <w:tr w:rsidR="00D21829" w:rsidRPr="00D21829" w14:paraId="5DABB128" w14:textId="77777777" w:rsidTr="00B67D22">
        <w:trPr>
          <w:trHeight w:val="255"/>
        </w:trPr>
        <w:tc>
          <w:tcPr>
            <w:tcW w:w="5147" w:type="dxa"/>
            <w:gridSpan w:val="2"/>
            <w:noWrap/>
            <w:vAlign w:val="bottom"/>
          </w:tcPr>
          <w:p w14:paraId="032F0A2C" w14:textId="77777777" w:rsidR="00D21829" w:rsidRPr="00D21829" w:rsidRDefault="00D21829" w:rsidP="00266F07">
            <w:pPr>
              <w:rPr>
                <w:rFonts w:ascii="Arial" w:hAnsi="Arial" w:cs="Arial"/>
                <w:sz w:val="22"/>
                <w:szCs w:val="22"/>
                <w:lang w:eastAsia="en-GB"/>
              </w:rPr>
            </w:pPr>
          </w:p>
        </w:tc>
        <w:tc>
          <w:tcPr>
            <w:tcW w:w="1843" w:type="dxa"/>
            <w:noWrap/>
            <w:vAlign w:val="bottom"/>
          </w:tcPr>
          <w:p w14:paraId="3EA5FA0C" w14:textId="77777777" w:rsidR="00D21829" w:rsidRPr="00D21829" w:rsidRDefault="00D21829" w:rsidP="00266F07">
            <w:pPr>
              <w:jc w:val="center"/>
              <w:rPr>
                <w:rFonts w:ascii="Arial" w:hAnsi="Arial" w:cs="Arial"/>
                <w:b/>
                <w:bCs/>
                <w:sz w:val="22"/>
                <w:szCs w:val="22"/>
                <w:lang w:eastAsia="en-GB"/>
              </w:rPr>
            </w:pPr>
            <w:r w:rsidRPr="00D21829">
              <w:rPr>
                <w:rFonts w:ascii="Arial" w:hAnsi="Arial" w:cs="Arial"/>
                <w:b/>
                <w:bCs/>
                <w:sz w:val="22"/>
                <w:szCs w:val="22"/>
                <w:lang w:eastAsia="en-GB"/>
              </w:rPr>
              <w:t>£</w:t>
            </w:r>
          </w:p>
        </w:tc>
        <w:tc>
          <w:tcPr>
            <w:tcW w:w="283" w:type="dxa"/>
          </w:tcPr>
          <w:p w14:paraId="41FAC866" w14:textId="77777777" w:rsidR="00D21829" w:rsidRPr="00D21829" w:rsidRDefault="00D21829" w:rsidP="00266F07">
            <w:pPr>
              <w:jc w:val="center"/>
              <w:rPr>
                <w:rFonts w:ascii="Arial" w:hAnsi="Arial" w:cs="Arial"/>
                <w:b/>
                <w:bCs/>
                <w:sz w:val="22"/>
                <w:szCs w:val="22"/>
                <w:lang w:eastAsia="en-GB"/>
              </w:rPr>
            </w:pPr>
          </w:p>
        </w:tc>
        <w:tc>
          <w:tcPr>
            <w:tcW w:w="2091" w:type="dxa"/>
            <w:noWrap/>
            <w:vAlign w:val="bottom"/>
          </w:tcPr>
          <w:p w14:paraId="007683D2" w14:textId="32B0C177" w:rsidR="00D21829" w:rsidRPr="00D21829" w:rsidRDefault="00D21829" w:rsidP="00266F07">
            <w:pPr>
              <w:jc w:val="center"/>
              <w:rPr>
                <w:rFonts w:ascii="Arial" w:hAnsi="Arial" w:cs="Arial"/>
                <w:b/>
                <w:bCs/>
                <w:sz w:val="22"/>
                <w:szCs w:val="22"/>
                <w:lang w:eastAsia="en-GB"/>
              </w:rPr>
            </w:pPr>
            <w:r w:rsidRPr="00D21829">
              <w:rPr>
                <w:rFonts w:ascii="Arial" w:hAnsi="Arial" w:cs="Arial"/>
                <w:b/>
                <w:bCs/>
                <w:sz w:val="22"/>
                <w:szCs w:val="22"/>
                <w:lang w:eastAsia="en-GB"/>
              </w:rPr>
              <w:t>£</w:t>
            </w:r>
          </w:p>
        </w:tc>
      </w:tr>
      <w:tr w:rsidR="00D21829" w:rsidRPr="00D21829" w14:paraId="1A1403ED" w14:textId="77777777" w:rsidTr="00B67D22">
        <w:trPr>
          <w:trHeight w:val="255"/>
        </w:trPr>
        <w:tc>
          <w:tcPr>
            <w:tcW w:w="236" w:type="dxa"/>
            <w:shd w:val="clear" w:color="auto" w:fill="D9D9D9"/>
          </w:tcPr>
          <w:p w14:paraId="4C5BCC5D" w14:textId="77777777" w:rsidR="00D21829" w:rsidRPr="00D21829" w:rsidRDefault="00D21829" w:rsidP="00266F07">
            <w:pPr>
              <w:rPr>
                <w:rFonts w:ascii="Arial" w:hAnsi="Arial" w:cs="Arial"/>
                <w:b/>
                <w:sz w:val="22"/>
                <w:szCs w:val="22"/>
                <w:lang w:eastAsia="en-GB"/>
              </w:rPr>
            </w:pPr>
          </w:p>
        </w:tc>
        <w:tc>
          <w:tcPr>
            <w:tcW w:w="9128" w:type="dxa"/>
            <w:gridSpan w:val="4"/>
            <w:shd w:val="clear" w:color="auto" w:fill="D9D9D9"/>
            <w:noWrap/>
            <w:vAlign w:val="bottom"/>
          </w:tcPr>
          <w:p w14:paraId="1EB82945" w14:textId="4CE6C68C" w:rsidR="00D21829" w:rsidRPr="00D21829" w:rsidRDefault="00D21829" w:rsidP="00266F07">
            <w:pPr>
              <w:rPr>
                <w:rFonts w:ascii="Arial" w:hAnsi="Arial" w:cs="Arial"/>
                <w:b/>
                <w:sz w:val="22"/>
                <w:szCs w:val="22"/>
                <w:lang w:eastAsia="en-GB"/>
              </w:rPr>
            </w:pPr>
            <w:r w:rsidRPr="00D21829">
              <w:rPr>
                <w:rFonts w:ascii="Arial" w:hAnsi="Arial" w:cs="Arial"/>
                <w:b/>
                <w:sz w:val="22"/>
                <w:szCs w:val="22"/>
                <w:lang w:eastAsia="en-GB"/>
              </w:rPr>
              <w:t>Annual Tax on Enveloped Dwellings (ATED)</w:t>
            </w:r>
          </w:p>
        </w:tc>
      </w:tr>
      <w:tr w:rsidR="00D21829" w:rsidRPr="00D21829" w14:paraId="39C0A08C" w14:textId="77777777" w:rsidTr="00B67D22">
        <w:trPr>
          <w:trHeight w:val="255"/>
        </w:trPr>
        <w:tc>
          <w:tcPr>
            <w:tcW w:w="5147" w:type="dxa"/>
            <w:gridSpan w:val="2"/>
            <w:noWrap/>
            <w:vAlign w:val="bottom"/>
          </w:tcPr>
          <w:p w14:paraId="0CE755FF" w14:textId="77777777" w:rsidR="00D21829" w:rsidRPr="00D21829" w:rsidRDefault="00D21829" w:rsidP="00266F07">
            <w:pPr>
              <w:rPr>
                <w:rFonts w:ascii="Arial" w:hAnsi="Arial" w:cs="Arial"/>
                <w:sz w:val="22"/>
                <w:szCs w:val="22"/>
                <w:lang w:eastAsia="en-GB"/>
              </w:rPr>
            </w:pPr>
            <w:r w:rsidRPr="00D21829">
              <w:rPr>
                <w:rFonts w:ascii="Arial" w:hAnsi="Arial" w:cs="Arial"/>
                <w:sz w:val="22"/>
                <w:szCs w:val="22"/>
                <w:lang w:eastAsia="en-GB"/>
              </w:rPr>
              <w:t>More than £0.5m but not more than £1m</w:t>
            </w:r>
          </w:p>
        </w:tc>
        <w:tc>
          <w:tcPr>
            <w:tcW w:w="1843" w:type="dxa"/>
            <w:noWrap/>
            <w:vAlign w:val="bottom"/>
          </w:tcPr>
          <w:p w14:paraId="21DAC246" w14:textId="12826553" w:rsidR="00D21829" w:rsidRPr="00D21829" w:rsidRDefault="00D21829" w:rsidP="00266F07">
            <w:pPr>
              <w:jc w:val="center"/>
              <w:rPr>
                <w:rFonts w:ascii="Arial" w:hAnsi="Arial" w:cs="Arial"/>
                <w:sz w:val="22"/>
                <w:szCs w:val="22"/>
              </w:rPr>
            </w:pPr>
            <w:r w:rsidRPr="00D21829">
              <w:rPr>
                <w:rFonts w:ascii="Arial" w:hAnsi="Arial" w:cs="Arial"/>
                <w:sz w:val="22"/>
                <w:szCs w:val="22"/>
              </w:rPr>
              <w:t>3,650</w:t>
            </w:r>
          </w:p>
        </w:tc>
        <w:tc>
          <w:tcPr>
            <w:tcW w:w="283" w:type="dxa"/>
          </w:tcPr>
          <w:p w14:paraId="5CA6EE50" w14:textId="77777777" w:rsidR="00D21829" w:rsidRPr="00D21829" w:rsidRDefault="00D21829" w:rsidP="00266F07">
            <w:pPr>
              <w:jc w:val="center"/>
              <w:rPr>
                <w:rFonts w:ascii="Arial" w:hAnsi="Arial" w:cs="Arial"/>
                <w:sz w:val="22"/>
                <w:szCs w:val="22"/>
              </w:rPr>
            </w:pPr>
          </w:p>
        </w:tc>
        <w:tc>
          <w:tcPr>
            <w:tcW w:w="2091" w:type="dxa"/>
            <w:noWrap/>
            <w:vAlign w:val="bottom"/>
          </w:tcPr>
          <w:p w14:paraId="605BB877" w14:textId="78BBEE03" w:rsidR="00D21829" w:rsidRPr="00D21829" w:rsidRDefault="00D21829" w:rsidP="00266F07">
            <w:pPr>
              <w:jc w:val="center"/>
              <w:rPr>
                <w:rFonts w:ascii="Arial" w:hAnsi="Arial" w:cs="Arial"/>
                <w:sz w:val="22"/>
                <w:szCs w:val="22"/>
              </w:rPr>
            </w:pPr>
            <w:r w:rsidRPr="00D21829">
              <w:rPr>
                <w:rFonts w:ascii="Arial" w:hAnsi="Arial" w:cs="Arial"/>
                <w:sz w:val="22"/>
                <w:szCs w:val="22"/>
              </w:rPr>
              <w:t>3,700</w:t>
            </w:r>
          </w:p>
        </w:tc>
      </w:tr>
      <w:tr w:rsidR="00D21829" w:rsidRPr="00D21829" w14:paraId="25B8DBDB" w14:textId="77777777" w:rsidTr="00B67D22">
        <w:trPr>
          <w:trHeight w:val="255"/>
        </w:trPr>
        <w:tc>
          <w:tcPr>
            <w:tcW w:w="5147" w:type="dxa"/>
            <w:gridSpan w:val="2"/>
            <w:noWrap/>
            <w:vAlign w:val="bottom"/>
          </w:tcPr>
          <w:p w14:paraId="2DDBE33E" w14:textId="77777777" w:rsidR="00D21829" w:rsidRPr="00D21829" w:rsidRDefault="00D21829" w:rsidP="00266F07">
            <w:pPr>
              <w:rPr>
                <w:rFonts w:ascii="Arial" w:hAnsi="Arial" w:cs="Arial"/>
                <w:sz w:val="22"/>
                <w:szCs w:val="22"/>
                <w:lang w:eastAsia="en-GB"/>
              </w:rPr>
            </w:pPr>
            <w:r w:rsidRPr="00D21829">
              <w:rPr>
                <w:rFonts w:ascii="Arial" w:hAnsi="Arial" w:cs="Arial"/>
                <w:sz w:val="22"/>
                <w:szCs w:val="22"/>
                <w:lang w:eastAsia="en-GB"/>
              </w:rPr>
              <w:t>More than £1m but not more than £2m</w:t>
            </w:r>
          </w:p>
        </w:tc>
        <w:tc>
          <w:tcPr>
            <w:tcW w:w="1843" w:type="dxa"/>
            <w:noWrap/>
            <w:vAlign w:val="bottom"/>
          </w:tcPr>
          <w:p w14:paraId="67A986D4" w14:textId="1F6061E6" w:rsidR="00D21829" w:rsidRPr="00D21829" w:rsidRDefault="00D21829" w:rsidP="00266F07">
            <w:pPr>
              <w:jc w:val="center"/>
              <w:rPr>
                <w:rFonts w:ascii="Arial" w:hAnsi="Arial" w:cs="Arial"/>
                <w:sz w:val="22"/>
                <w:szCs w:val="22"/>
              </w:rPr>
            </w:pPr>
            <w:r w:rsidRPr="00D21829">
              <w:rPr>
                <w:rFonts w:ascii="Arial" w:hAnsi="Arial" w:cs="Arial"/>
                <w:sz w:val="22"/>
                <w:szCs w:val="22"/>
              </w:rPr>
              <w:t>7,400</w:t>
            </w:r>
          </w:p>
        </w:tc>
        <w:tc>
          <w:tcPr>
            <w:tcW w:w="283" w:type="dxa"/>
          </w:tcPr>
          <w:p w14:paraId="31868E2D" w14:textId="77777777" w:rsidR="00D21829" w:rsidRPr="00D21829" w:rsidRDefault="00D21829" w:rsidP="00266F07">
            <w:pPr>
              <w:jc w:val="center"/>
              <w:rPr>
                <w:rFonts w:ascii="Arial" w:hAnsi="Arial" w:cs="Arial"/>
                <w:sz w:val="22"/>
                <w:szCs w:val="22"/>
              </w:rPr>
            </w:pPr>
          </w:p>
        </w:tc>
        <w:tc>
          <w:tcPr>
            <w:tcW w:w="2091" w:type="dxa"/>
            <w:noWrap/>
            <w:vAlign w:val="bottom"/>
          </w:tcPr>
          <w:p w14:paraId="6DA673E4" w14:textId="0B114B68" w:rsidR="00D21829" w:rsidRPr="00D21829" w:rsidRDefault="00D21829" w:rsidP="00266F07">
            <w:pPr>
              <w:jc w:val="center"/>
              <w:rPr>
                <w:rFonts w:ascii="Arial" w:hAnsi="Arial" w:cs="Arial"/>
                <w:sz w:val="22"/>
                <w:szCs w:val="22"/>
              </w:rPr>
            </w:pPr>
            <w:r w:rsidRPr="00D21829">
              <w:rPr>
                <w:rFonts w:ascii="Arial" w:hAnsi="Arial" w:cs="Arial"/>
                <w:sz w:val="22"/>
                <w:szCs w:val="22"/>
              </w:rPr>
              <w:t>7,500</w:t>
            </w:r>
          </w:p>
        </w:tc>
      </w:tr>
      <w:tr w:rsidR="00D21829" w:rsidRPr="00D21829" w14:paraId="34066A36" w14:textId="77777777" w:rsidTr="00B67D22">
        <w:trPr>
          <w:trHeight w:val="255"/>
        </w:trPr>
        <w:tc>
          <w:tcPr>
            <w:tcW w:w="5147" w:type="dxa"/>
            <w:gridSpan w:val="2"/>
            <w:noWrap/>
            <w:vAlign w:val="bottom"/>
          </w:tcPr>
          <w:p w14:paraId="3FD714EF" w14:textId="77777777" w:rsidR="00D21829" w:rsidRPr="00D21829" w:rsidRDefault="00D21829" w:rsidP="00266F07">
            <w:pPr>
              <w:rPr>
                <w:rFonts w:ascii="Arial" w:hAnsi="Arial" w:cs="Arial"/>
                <w:sz w:val="22"/>
                <w:szCs w:val="22"/>
                <w:lang w:eastAsia="en-GB"/>
              </w:rPr>
            </w:pPr>
            <w:r w:rsidRPr="00D21829">
              <w:rPr>
                <w:rFonts w:ascii="Arial" w:hAnsi="Arial" w:cs="Arial"/>
                <w:sz w:val="22"/>
                <w:szCs w:val="22"/>
                <w:lang w:eastAsia="en-GB"/>
              </w:rPr>
              <w:t>More than £2m but not more than £5m</w:t>
            </w:r>
          </w:p>
        </w:tc>
        <w:tc>
          <w:tcPr>
            <w:tcW w:w="1843" w:type="dxa"/>
            <w:noWrap/>
            <w:vAlign w:val="bottom"/>
          </w:tcPr>
          <w:p w14:paraId="394AED64" w14:textId="29F5C56B" w:rsidR="00D21829" w:rsidRPr="00D21829" w:rsidRDefault="00D21829" w:rsidP="00266F07">
            <w:pPr>
              <w:jc w:val="center"/>
              <w:rPr>
                <w:rFonts w:ascii="Arial" w:hAnsi="Arial" w:cs="Arial"/>
                <w:sz w:val="22"/>
                <w:szCs w:val="22"/>
              </w:rPr>
            </w:pPr>
            <w:r w:rsidRPr="00D21829">
              <w:rPr>
                <w:rFonts w:ascii="Arial" w:hAnsi="Arial" w:cs="Arial"/>
                <w:sz w:val="22"/>
                <w:szCs w:val="22"/>
              </w:rPr>
              <w:t>24,800</w:t>
            </w:r>
          </w:p>
        </w:tc>
        <w:tc>
          <w:tcPr>
            <w:tcW w:w="283" w:type="dxa"/>
          </w:tcPr>
          <w:p w14:paraId="0606F00F" w14:textId="77777777" w:rsidR="00D21829" w:rsidRPr="00D21829" w:rsidRDefault="00D21829" w:rsidP="00266F07">
            <w:pPr>
              <w:jc w:val="center"/>
              <w:rPr>
                <w:rFonts w:ascii="Arial" w:hAnsi="Arial" w:cs="Arial"/>
                <w:sz w:val="22"/>
                <w:szCs w:val="22"/>
              </w:rPr>
            </w:pPr>
          </w:p>
        </w:tc>
        <w:tc>
          <w:tcPr>
            <w:tcW w:w="2091" w:type="dxa"/>
            <w:noWrap/>
            <w:vAlign w:val="bottom"/>
          </w:tcPr>
          <w:p w14:paraId="0A81E3A2" w14:textId="1209336F" w:rsidR="00D21829" w:rsidRPr="00D21829" w:rsidRDefault="00D21829" w:rsidP="00266F07">
            <w:pPr>
              <w:jc w:val="center"/>
              <w:rPr>
                <w:rFonts w:ascii="Arial" w:hAnsi="Arial" w:cs="Arial"/>
                <w:sz w:val="22"/>
                <w:szCs w:val="22"/>
              </w:rPr>
            </w:pPr>
            <w:r w:rsidRPr="00D21829">
              <w:rPr>
                <w:rFonts w:ascii="Arial" w:hAnsi="Arial" w:cs="Arial"/>
                <w:sz w:val="22"/>
                <w:szCs w:val="22"/>
              </w:rPr>
              <w:t>25,200</w:t>
            </w:r>
          </w:p>
        </w:tc>
      </w:tr>
      <w:tr w:rsidR="00D21829" w:rsidRPr="00D21829" w14:paraId="700573F6" w14:textId="77777777" w:rsidTr="00B67D22">
        <w:trPr>
          <w:trHeight w:val="255"/>
        </w:trPr>
        <w:tc>
          <w:tcPr>
            <w:tcW w:w="5147" w:type="dxa"/>
            <w:gridSpan w:val="2"/>
            <w:noWrap/>
            <w:vAlign w:val="bottom"/>
          </w:tcPr>
          <w:p w14:paraId="75256178" w14:textId="77777777" w:rsidR="00D21829" w:rsidRPr="00D21829" w:rsidRDefault="00D21829" w:rsidP="00266F07">
            <w:pPr>
              <w:rPr>
                <w:rFonts w:ascii="Arial" w:hAnsi="Arial" w:cs="Arial"/>
                <w:sz w:val="22"/>
                <w:szCs w:val="22"/>
                <w:lang w:eastAsia="en-GB"/>
              </w:rPr>
            </w:pPr>
            <w:r w:rsidRPr="00D21829">
              <w:rPr>
                <w:rFonts w:ascii="Arial" w:hAnsi="Arial" w:cs="Arial"/>
                <w:sz w:val="22"/>
                <w:szCs w:val="22"/>
                <w:lang w:eastAsia="en-GB"/>
              </w:rPr>
              <w:t>More than £5m but not more than £10m</w:t>
            </w:r>
          </w:p>
        </w:tc>
        <w:tc>
          <w:tcPr>
            <w:tcW w:w="1843" w:type="dxa"/>
            <w:noWrap/>
            <w:vAlign w:val="bottom"/>
          </w:tcPr>
          <w:p w14:paraId="36194037" w14:textId="3E08EDFE" w:rsidR="00D21829" w:rsidRPr="00D21829" w:rsidRDefault="00D21829" w:rsidP="00266F07">
            <w:pPr>
              <w:jc w:val="center"/>
              <w:rPr>
                <w:rFonts w:ascii="Arial" w:hAnsi="Arial" w:cs="Arial"/>
                <w:sz w:val="22"/>
                <w:szCs w:val="22"/>
              </w:rPr>
            </w:pPr>
            <w:r w:rsidRPr="00D21829">
              <w:rPr>
                <w:rFonts w:ascii="Arial" w:hAnsi="Arial" w:cs="Arial"/>
                <w:sz w:val="22"/>
                <w:szCs w:val="22"/>
              </w:rPr>
              <w:t>57,900</w:t>
            </w:r>
          </w:p>
        </w:tc>
        <w:tc>
          <w:tcPr>
            <w:tcW w:w="283" w:type="dxa"/>
          </w:tcPr>
          <w:p w14:paraId="14DE90BC" w14:textId="77777777" w:rsidR="00D21829" w:rsidRPr="00D21829" w:rsidRDefault="00D21829" w:rsidP="00266F07">
            <w:pPr>
              <w:jc w:val="center"/>
              <w:rPr>
                <w:rFonts w:ascii="Arial" w:hAnsi="Arial" w:cs="Arial"/>
                <w:sz w:val="22"/>
                <w:szCs w:val="22"/>
              </w:rPr>
            </w:pPr>
          </w:p>
        </w:tc>
        <w:tc>
          <w:tcPr>
            <w:tcW w:w="2091" w:type="dxa"/>
            <w:noWrap/>
            <w:vAlign w:val="bottom"/>
          </w:tcPr>
          <w:p w14:paraId="01C14F22" w14:textId="533434E8" w:rsidR="00D21829" w:rsidRPr="00D21829" w:rsidRDefault="00D21829" w:rsidP="00266F07">
            <w:pPr>
              <w:jc w:val="center"/>
              <w:rPr>
                <w:rFonts w:ascii="Arial" w:hAnsi="Arial" w:cs="Arial"/>
                <w:sz w:val="22"/>
                <w:szCs w:val="22"/>
              </w:rPr>
            </w:pPr>
            <w:r w:rsidRPr="00D21829">
              <w:rPr>
                <w:rFonts w:ascii="Arial" w:hAnsi="Arial" w:cs="Arial"/>
                <w:sz w:val="22"/>
                <w:szCs w:val="22"/>
              </w:rPr>
              <w:t>59,850</w:t>
            </w:r>
          </w:p>
        </w:tc>
      </w:tr>
      <w:tr w:rsidR="00D21829" w:rsidRPr="00D21829" w14:paraId="6CAF25B4" w14:textId="77777777" w:rsidTr="00B67D22">
        <w:trPr>
          <w:trHeight w:val="255"/>
        </w:trPr>
        <w:tc>
          <w:tcPr>
            <w:tcW w:w="5147" w:type="dxa"/>
            <w:gridSpan w:val="2"/>
            <w:noWrap/>
            <w:vAlign w:val="bottom"/>
          </w:tcPr>
          <w:p w14:paraId="1C3E8F72" w14:textId="77777777" w:rsidR="00D21829" w:rsidRPr="00D21829" w:rsidRDefault="00D21829" w:rsidP="00266F07">
            <w:pPr>
              <w:rPr>
                <w:rFonts w:ascii="Arial" w:hAnsi="Arial" w:cs="Arial"/>
                <w:sz w:val="22"/>
                <w:szCs w:val="22"/>
                <w:lang w:eastAsia="en-GB"/>
              </w:rPr>
            </w:pPr>
            <w:r w:rsidRPr="00D21829">
              <w:rPr>
                <w:rFonts w:ascii="Arial" w:hAnsi="Arial" w:cs="Arial"/>
                <w:sz w:val="22"/>
                <w:szCs w:val="22"/>
                <w:lang w:eastAsia="en-GB"/>
              </w:rPr>
              <w:t>More than £10m but not more than £20m</w:t>
            </w:r>
          </w:p>
        </w:tc>
        <w:tc>
          <w:tcPr>
            <w:tcW w:w="1843" w:type="dxa"/>
            <w:noWrap/>
            <w:vAlign w:val="bottom"/>
          </w:tcPr>
          <w:p w14:paraId="2711C230" w14:textId="144A9063" w:rsidR="00D21829" w:rsidRPr="00D21829" w:rsidRDefault="00D21829" w:rsidP="00266F07">
            <w:pPr>
              <w:jc w:val="center"/>
              <w:rPr>
                <w:rFonts w:ascii="Arial" w:hAnsi="Arial" w:cs="Arial"/>
                <w:sz w:val="22"/>
                <w:szCs w:val="22"/>
              </w:rPr>
            </w:pPr>
            <w:r w:rsidRPr="00D21829">
              <w:rPr>
                <w:rFonts w:ascii="Arial" w:hAnsi="Arial" w:cs="Arial"/>
                <w:sz w:val="22"/>
                <w:szCs w:val="22"/>
              </w:rPr>
              <w:t>116,100</w:t>
            </w:r>
          </w:p>
        </w:tc>
        <w:tc>
          <w:tcPr>
            <w:tcW w:w="283" w:type="dxa"/>
          </w:tcPr>
          <w:p w14:paraId="2E5D42E5" w14:textId="77777777" w:rsidR="00D21829" w:rsidRPr="00D21829" w:rsidRDefault="00D21829" w:rsidP="00266F07">
            <w:pPr>
              <w:jc w:val="center"/>
              <w:rPr>
                <w:rFonts w:ascii="Arial" w:hAnsi="Arial" w:cs="Arial"/>
                <w:sz w:val="22"/>
                <w:szCs w:val="22"/>
              </w:rPr>
            </w:pPr>
          </w:p>
        </w:tc>
        <w:tc>
          <w:tcPr>
            <w:tcW w:w="2091" w:type="dxa"/>
            <w:noWrap/>
            <w:vAlign w:val="bottom"/>
          </w:tcPr>
          <w:p w14:paraId="6F5360A2" w14:textId="396337B7" w:rsidR="00D21829" w:rsidRPr="00D21829" w:rsidRDefault="00D21829" w:rsidP="00266F07">
            <w:pPr>
              <w:jc w:val="center"/>
              <w:rPr>
                <w:rFonts w:ascii="Arial" w:hAnsi="Arial" w:cs="Arial"/>
                <w:sz w:val="22"/>
                <w:szCs w:val="22"/>
              </w:rPr>
            </w:pPr>
            <w:r w:rsidRPr="00D21829">
              <w:rPr>
                <w:rFonts w:ascii="Arial" w:hAnsi="Arial" w:cs="Arial"/>
                <w:sz w:val="22"/>
                <w:szCs w:val="22"/>
              </w:rPr>
              <w:t>118,050</w:t>
            </w:r>
          </w:p>
        </w:tc>
      </w:tr>
      <w:tr w:rsidR="00D21829" w:rsidRPr="00D21829" w14:paraId="070D6895" w14:textId="77777777" w:rsidTr="00B67D22">
        <w:trPr>
          <w:trHeight w:val="255"/>
        </w:trPr>
        <w:tc>
          <w:tcPr>
            <w:tcW w:w="5147" w:type="dxa"/>
            <w:gridSpan w:val="2"/>
            <w:noWrap/>
            <w:vAlign w:val="bottom"/>
          </w:tcPr>
          <w:p w14:paraId="1646582A" w14:textId="77777777" w:rsidR="00D21829" w:rsidRPr="00D21829" w:rsidRDefault="00D21829" w:rsidP="00266F07">
            <w:pPr>
              <w:rPr>
                <w:rFonts w:ascii="Arial" w:hAnsi="Arial" w:cs="Arial"/>
                <w:sz w:val="22"/>
                <w:szCs w:val="22"/>
                <w:lang w:eastAsia="en-GB"/>
              </w:rPr>
            </w:pPr>
            <w:r w:rsidRPr="00D21829">
              <w:rPr>
                <w:rFonts w:ascii="Arial" w:hAnsi="Arial" w:cs="Arial"/>
                <w:sz w:val="22"/>
                <w:szCs w:val="22"/>
                <w:lang w:eastAsia="en-GB"/>
              </w:rPr>
              <w:t>More than £20m</w:t>
            </w:r>
          </w:p>
        </w:tc>
        <w:tc>
          <w:tcPr>
            <w:tcW w:w="1843" w:type="dxa"/>
            <w:noWrap/>
            <w:vAlign w:val="bottom"/>
          </w:tcPr>
          <w:p w14:paraId="23B0FAC8" w14:textId="128F8DE4" w:rsidR="00D21829" w:rsidRPr="00D21829" w:rsidRDefault="00D21829" w:rsidP="00266F07">
            <w:pPr>
              <w:jc w:val="center"/>
              <w:rPr>
                <w:rFonts w:ascii="Arial" w:hAnsi="Arial" w:cs="Arial"/>
                <w:sz w:val="22"/>
                <w:szCs w:val="22"/>
              </w:rPr>
            </w:pPr>
            <w:r w:rsidRPr="00D21829">
              <w:rPr>
                <w:rFonts w:ascii="Arial" w:hAnsi="Arial" w:cs="Arial"/>
                <w:sz w:val="22"/>
                <w:szCs w:val="22"/>
              </w:rPr>
              <w:t>232,350</w:t>
            </w:r>
          </w:p>
        </w:tc>
        <w:tc>
          <w:tcPr>
            <w:tcW w:w="283" w:type="dxa"/>
          </w:tcPr>
          <w:p w14:paraId="783B0FF5" w14:textId="77777777" w:rsidR="00D21829" w:rsidRPr="00D21829" w:rsidRDefault="00D21829" w:rsidP="00266F07">
            <w:pPr>
              <w:jc w:val="center"/>
              <w:rPr>
                <w:rFonts w:ascii="Arial" w:hAnsi="Arial" w:cs="Arial"/>
                <w:sz w:val="22"/>
                <w:szCs w:val="22"/>
              </w:rPr>
            </w:pPr>
          </w:p>
        </w:tc>
        <w:tc>
          <w:tcPr>
            <w:tcW w:w="2091" w:type="dxa"/>
            <w:noWrap/>
            <w:vAlign w:val="bottom"/>
          </w:tcPr>
          <w:p w14:paraId="579194FC" w14:textId="4ADC15BF" w:rsidR="00D21829" w:rsidRPr="00D21829" w:rsidRDefault="00D21829" w:rsidP="00266F07">
            <w:pPr>
              <w:jc w:val="center"/>
              <w:rPr>
                <w:rFonts w:ascii="Arial" w:hAnsi="Arial" w:cs="Arial"/>
                <w:sz w:val="22"/>
                <w:szCs w:val="22"/>
              </w:rPr>
            </w:pPr>
            <w:r w:rsidRPr="00D21829">
              <w:rPr>
                <w:rFonts w:ascii="Arial" w:hAnsi="Arial" w:cs="Arial"/>
                <w:sz w:val="22"/>
                <w:szCs w:val="22"/>
              </w:rPr>
              <w:t>236,250</w:t>
            </w:r>
          </w:p>
        </w:tc>
      </w:tr>
    </w:tbl>
    <w:p w14:paraId="2D217D67" w14:textId="2C6BD54B" w:rsidR="009C5F6B" w:rsidRPr="009C5F6B" w:rsidRDefault="007379C6" w:rsidP="00B67D22">
      <w:pPr>
        <w:rPr>
          <w:rFonts w:ascii="Arial" w:hAnsi="Arial" w:cs="Arial"/>
          <w:sz w:val="22"/>
          <w:szCs w:val="22"/>
        </w:rPr>
      </w:pPr>
      <w:r w:rsidRPr="00A85E8F">
        <w:rPr>
          <w:rFonts w:ascii="Arial" w:hAnsi="Arial" w:cs="Arial"/>
          <w:color w:val="333333"/>
          <w:sz w:val="22"/>
          <w:szCs w:val="22"/>
          <w:lang w:eastAsia="en-GB"/>
        </w:rPr>
        <w:br/>
      </w:r>
    </w:p>
    <w:p w14:paraId="7A82B5BF" w14:textId="77777777" w:rsidR="009C5F6B" w:rsidRPr="009C5F6B" w:rsidRDefault="009C5F6B" w:rsidP="009C5F6B">
      <w:pPr>
        <w:rPr>
          <w:rFonts w:ascii="Arial" w:hAnsi="Arial" w:cs="Arial"/>
          <w:sz w:val="22"/>
          <w:szCs w:val="22"/>
        </w:rPr>
      </w:pPr>
    </w:p>
    <w:p w14:paraId="2AE13E00" w14:textId="77777777" w:rsidR="009C5F6B" w:rsidRPr="00E20B7D" w:rsidRDefault="009C5F6B" w:rsidP="00FA576A">
      <w:pPr>
        <w:rPr>
          <w:rFonts w:ascii="Arial" w:hAnsi="Arial" w:cs="Arial"/>
          <w:sz w:val="22"/>
          <w:szCs w:val="22"/>
        </w:rPr>
      </w:pPr>
    </w:p>
    <w:sectPr w:rsidR="009C5F6B" w:rsidRPr="00E20B7D" w:rsidSect="00742988">
      <w:headerReference w:type="default" r:id="rId14"/>
      <w:footerReference w:type="default" r:id="rId15"/>
      <w:headerReference w:type="first" r:id="rId16"/>
      <w:footerReference w:type="first" r:id="rId17"/>
      <w:pgSz w:w="11907" w:h="16840" w:code="9"/>
      <w:pgMar w:top="1134" w:right="1134" w:bottom="1134" w:left="1134" w:header="113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854B3" w14:textId="77777777" w:rsidR="00B4229D" w:rsidRDefault="00B4229D">
      <w:r>
        <w:separator/>
      </w:r>
    </w:p>
  </w:endnote>
  <w:endnote w:type="continuationSeparator" w:id="0">
    <w:p w14:paraId="047BD520" w14:textId="77777777" w:rsidR="00B4229D" w:rsidRDefault="00B4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FD16" w14:textId="77777777" w:rsidR="00582450" w:rsidRDefault="00582450">
    <w:pPr>
      <w:pStyle w:val="Footer"/>
      <w:jc w:val="center"/>
      <w:rPr>
        <w:rFonts w:ascii="NewsGoth BT" w:hAnsi="NewsGoth BT"/>
        <w:sz w:val="20"/>
        <w:szCs w:val="20"/>
      </w:rPr>
    </w:pPr>
  </w:p>
  <w:p w14:paraId="0AF00279" w14:textId="77777777" w:rsidR="00582450" w:rsidRPr="00060939" w:rsidRDefault="00582450">
    <w:pPr>
      <w:pStyle w:val="Footer"/>
      <w:jc w:val="center"/>
      <w:rPr>
        <w:rFonts w:ascii="NewsGoth BT" w:hAnsi="NewsGoth BT"/>
        <w:sz w:val="20"/>
        <w:szCs w:val="20"/>
      </w:rPr>
    </w:pPr>
    <w:r w:rsidRPr="00060939">
      <w:rPr>
        <w:rFonts w:ascii="NewsGoth BT" w:hAnsi="NewsGoth BT"/>
        <w:sz w:val="20"/>
        <w:szCs w:val="20"/>
      </w:rPr>
      <w:fldChar w:fldCharType="begin"/>
    </w:r>
    <w:r w:rsidRPr="00060939">
      <w:rPr>
        <w:rFonts w:ascii="NewsGoth BT" w:hAnsi="NewsGoth BT"/>
        <w:sz w:val="20"/>
        <w:szCs w:val="20"/>
      </w:rPr>
      <w:instrText xml:space="preserve"> PAGE   \* MERGEFORMAT </w:instrText>
    </w:r>
    <w:r w:rsidRPr="00060939">
      <w:rPr>
        <w:rFonts w:ascii="NewsGoth BT" w:hAnsi="NewsGoth BT"/>
        <w:sz w:val="20"/>
        <w:szCs w:val="20"/>
      </w:rPr>
      <w:fldChar w:fldCharType="separate"/>
    </w:r>
    <w:r w:rsidR="00385201">
      <w:rPr>
        <w:rFonts w:ascii="NewsGoth BT" w:hAnsi="NewsGoth BT"/>
        <w:noProof/>
        <w:sz w:val="20"/>
        <w:szCs w:val="20"/>
      </w:rPr>
      <w:t>4</w:t>
    </w:r>
    <w:r w:rsidRPr="00060939">
      <w:rPr>
        <w:rFonts w:ascii="NewsGoth BT" w:hAnsi="NewsGoth BT"/>
        <w:sz w:val="20"/>
        <w:szCs w:val="20"/>
      </w:rPr>
      <w:fldChar w:fldCharType="end"/>
    </w:r>
  </w:p>
  <w:p w14:paraId="349B8864" w14:textId="77777777" w:rsidR="00582450" w:rsidRPr="009118B9" w:rsidRDefault="00582450" w:rsidP="009118B9">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15AD" w14:textId="77777777" w:rsidR="00582450" w:rsidRDefault="00582450">
    <w:pPr>
      <w:pStyle w:val="Footer"/>
      <w:jc w:val="center"/>
    </w:pPr>
  </w:p>
  <w:p w14:paraId="5CE98D26" w14:textId="77777777" w:rsidR="00582450" w:rsidRPr="00060939" w:rsidRDefault="00582450" w:rsidP="00060939">
    <w:pPr>
      <w:pStyle w:val="Footer"/>
      <w:jc w:val="center"/>
      <w:rPr>
        <w:rFonts w:ascii="NewsGoth BT" w:hAnsi="NewsGoth BT"/>
        <w:sz w:val="20"/>
        <w:szCs w:val="20"/>
      </w:rPr>
    </w:pPr>
    <w:r w:rsidRPr="00060939">
      <w:rPr>
        <w:rFonts w:ascii="NewsGoth BT" w:hAnsi="NewsGoth BT"/>
        <w:sz w:val="20"/>
        <w:szCs w:val="20"/>
      </w:rPr>
      <w:fldChar w:fldCharType="begin"/>
    </w:r>
    <w:r w:rsidRPr="00060939">
      <w:rPr>
        <w:rFonts w:ascii="NewsGoth BT" w:hAnsi="NewsGoth BT"/>
        <w:sz w:val="20"/>
        <w:szCs w:val="20"/>
      </w:rPr>
      <w:instrText xml:space="preserve"> PAGE   \* MERGEFORMAT </w:instrText>
    </w:r>
    <w:r w:rsidRPr="00060939">
      <w:rPr>
        <w:rFonts w:ascii="NewsGoth BT" w:hAnsi="NewsGoth BT"/>
        <w:sz w:val="20"/>
        <w:szCs w:val="20"/>
      </w:rPr>
      <w:fldChar w:fldCharType="separate"/>
    </w:r>
    <w:r w:rsidR="00385201">
      <w:rPr>
        <w:rFonts w:ascii="NewsGoth BT" w:hAnsi="NewsGoth BT"/>
        <w:noProof/>
        <w:sz w:val="20"/>
        <w:szCs w:val="20"/>
      </w:rPr>
      <w:t>1</w:t>
    </w:r>
    <w:r w:rsidRPr="00060939">
      <w:rPr>
        <w:rFonts w:ascii="NewsGoth BT" w:hAnsi="NewsGoth BT"/>
        <w:sz w:val="20"/>
        <w:szCs w:val="20"/>
      </w:rPr>
      <w:fldChar w:fldCharType="end"/>
    </w:r>
  </w:p>
  <w:p w14:paraId="06D8DC06" w14:textId="77777777" w:rsidR="00582450" w:rsidRDefault="00582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A8E1E" w14:textId="77777777" w:rsidR="00B4229D" w:rsidRDefault="00B4229D">
      <w:r>
        <w:separator/>
      </w:r>
    </w:p>
  </w:footnote>
  <w:footnote w:type="continuationSeparator" w:id="0">
    <w:p w14:paraId="385C1CEB" w14:textId="77777777" w:rsidR="00B4229D" w:rsidRDefault="00B42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4AE7" w14:textId="77777777" w:rsidR="00582450" w:rsidRDefault="00582450" w:rsidP="001B6823">
    <w:pPr>
      <w:pStyle w:val="Header"/>
      <w:tabs>
        <w:tab w:val="clear" w:pos="4153"/>
        <w:tab w:val="clear" w:pos="8306"/>
        <w:tab w:val="left" w:pos="56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33C4E" w14:textId="11E0F438" w:rsidR="00582450" w:rsidRPr="00955165" w:rsidRDefault="00385201" w:rsidP="001B6823">
    <w:pPr>
      <w:pStyle w:val="Header"/>
      <w:rPr>
        <w:rFonts w:ascii="Arial" w:hAnsi="Arial" w:cs="Arial"/>
        <w:noProof/>
        <w:color w:val="000000"/>
        <w:sz w:val="20"/>
        <w:szCs w:val="20"/>
        <w:lang w:eastAsia="en-GB"/>
      </w:rPr>
    </w:pPr>
    <w:r>
      <w:rPr>
        <w:rFonts w:ascii="Arial" w:hAnsi="Arial" w:cs="Arial"/>
        <w:noProof/>
        <w:sz w:val="44"/>
        <w:szCs w:val="44"/>
        <w:lang w:eastAsia="en-GB"/>
      </w:rPr>
      <w:drawing>
        <wp:inline distT="0" distB="0" distL="0" distR="0" wp14:anchorId="7E05B586" wp14:editId="3C11C3D3">
          <wp:extent cx="3810000" cy="1628775"/>
          <wp:effectExtent l="0" t="0" r="0" b="9525"/>
          <wp:docPr id="1" name="Picture 1" descr="F:\SanDiskSecureAccess\04022019\02032020\sas\practice issues\logos etc\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nDiskSecureAccess\04022019\02032020\sas\practice issues\logos etc\image0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0" cy="1628775"/>
                  </a:xfrm>
                  <a:prstGeom prst="rect">
                    <a:avLst/>
                  </a:prstGeom>
                  <a:noFill/>
                  <a:ln>
                    <a:noFill/>
                  </a:ln>
                </pic:spPr>
              </pic:pic>
            </a:graphicData>
          </a:graphic>
        </wp:inline>
      </w:drawing>
    </w:r>
  </w:p>
  <w:p w14:paraId="1431A192" w14:textId="77777777" w:rsidR="00582450" w:rsidRDefault="00582450" w:rsidP="001B6823">
    <w:pPr>
      <w:pStyle w:val="Header"/>
      <w:tabs>
        <w:tab w:val="clear" w:pos="4153"/>
        <w:tab w:val="clear" w:pos="8306"/>
        <w:tab w:val="left" w:pos="284"/>
      </w:tabs>
      <w:jc w:val="both"/>
      <w:rPr>
        <w:rFonts w:ascii="Arial" w:hAnsi="Arial" w:cs="Arial"/>
        <w:i/>
        <w:color w:val="808080"/>
        <w:sz w:val="18"/>
        <w:szCs w:val="18"/>
      </w:rPr>
    </w:pPr>
  </w:p>
  <w:p w14:paraId="4F101FFA" w14:textId="76C5CE45" w:rsidR="00582450" w:rsidRPr="00A4433F" w:rsidRDefault="00582450" w:rsidP="00B16876">
    <w:pPr>
      <w:pStyle w:val="Header"/>
      <w:tabs>
        <w:tab w:val="clear" w:pos="4153"/>
        <w:tab w:val="clear" w:pos="8306"/>
        <w:tab w:val="left" w:pos="284"/>
      </w:tabs>
      <w:jc w:val="both"/>
      <w:rPr>
        <w:rFonts w:ascii="NewsGoth BT" w:hAnsi="NewsGoth BT" w:cs="Arial"/>
        <w:i/>
        <w:color w:val="7F7F7F"/>
        <w:sz w:val="15"/>
        <w:szCs w:val="15"/>
      </w:rPr>
    </w:pPr>
    <w:r>
      <w:rPr>
        <w:rFonts w:ascii="NewsGoth BT" w:hAnsi="NewsGoth BT" w:cs="Arial"/>
        <w:i/>
        <w:color w:val="7F7F7F"/>
        <w:sz w:val="15"/>
        <w:szCs w:val="15"/>
      </w:rPr>
      <w:tab/>
    </w:r>
  </w:p>
  <w:p w14:paraId="38A78DAA" w14:textId="77777777" w:rsidR="00582450" w:rsidRPr="001A3DC3" w:rsidRDefault="00582450" w:rsidP="001B6823">
    <w:pPr>
      <w:pStyle w:val="Header"/>
      <w:jc w:val="both"/>
      <w:rPr>
        <w:rFonts w:ascii="Arial" w:hAnsi="Arial" w:cs="Arial"/>
        <w:b/>
        <w:bCs/>
        <w:color w:val="808080"/>
        <w:sz w:val="18"/>
        <w:szCs w:val="18"/>
      </w:rPr>
    </w:pPr>
  </w:p>
  <w:p w14:paraId="0EF2966A" w14:textId="77777777" w:rsidR="00582450" w:rsidRPr="00A810D9" w:rsidRDefault="00582450" w:rsidP="001B6823">
    <w:pPr>
      <w:pStyle w:val="Header"/>
      <w:rPr>
        <w:szCs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A7A"/>
    <w:multiLevelType w:val="hybridMultilevel"/>
    <w:tmpl w:val="AC98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470D0"/>
    <w:multiLevelType w:val="hybridMultilevel"/>
    <w:tmpl w:val="52B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91D9F"/>
    <w:multiLevelType w:val="multilevel"/>
    <w:tmpl w:val="397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120B94"/>
    <w:multiLevelType w:val="hybridMultilevel"/>
    <w:tmpl w:val="4406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638DA"/>
    <w:multiLevelType w:val="hybridMultilevel"/>
    <w:tmpl w:val="60A07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F770AA"/>
    <w:multiLevelType w:val="hybridMultilevel"/>
    <w:tmpl w:val="D7D8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3F006E"/>
    <w:multiLevelType w:val="hybridMultilevel"/>
    <w:tmpl w:val="6FD6C408"/>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7">
    <w:nsid w:val="1B5001E7"/>
    <w:multiLevelType w:val="hybridMultilevel"/>
    <w:tmpl w:val="72AE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BC5743"/>
    <w:multiLevelType w:val="hybridMultilevel"/>
    <w:tmpl w:val="C5747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F1068D7"/>
    <w:multiLevelType w:val="hybridMultilevel"/>
    <w:tmpl w:val="7E9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B705A6"/>
    <w:multiLevelType w:val="hybridMultilevel"/>
    <w:tmpl w:val="418C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4472DB"/>
    <w:multiLevelType w:val="hybridMultilevel"/>
    <w:tmpl w:val="F4482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3B26877"/>
    <w:multiLevelType w:val="hybridMultilevel"/>
    <w:tmpl w:val="B336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18489D"/>
    <w:multiLevelType w:val="hybridMultilevel"/>
    <w:tmpl w:val="13D0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C36CD2"/>
    <w:multiLevelType w:val="hybridMultilevel"/>
    <w:tmpl w:val="0CEE5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4040087"/>
    <w:multiLevelType w:val="hybridMultilevel"/>
    <w:tmpl w:val="054EBF5C"/>
    <w:lvl w:ilvl="0" w:tplc="5310FA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5E7AAB"/>
    <w:multiLevelType w:val="hybridMultilevel"/>
    <w:tmpl w:val="ADD65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6446C6F"/>
    <w:multiLevelType w:val="hybridMultilevel"/>
    <w:tmpl w:val="7DC46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8D23996"/>
    <w:multiLevelType w:val="hybridMultilevel"/>
    <w:tmpl w:val="E72E7F36"/>
    <w:lvl w:ilvl="0" w:tplc="08090001">
      <w:start w:val="1"/>
      <w:numFmt w:val="bullet"/>
      <w:lvlText w:val=""/>
      <w:lvlJc w:val="left"/>
      <w:pPr>
        <w:ind w:left="1116" w:hanging="360"/>
      </w:pPr>
      <w:rPr>
        <w:rFonts w:ascii="Symbol" w:hAnsi="Symbol" w:hint="default"/>
      </w:rPr>
    </w:lvl>
    <w:lvl w:ilvl="1" w:tplc="08090003">
      <w:start w:val="1"/>
      <w:numFmt w:val="bullet"/>
      <w:lvlText w:val="o"/>
      <w:lvlJc w:val="left"/>
      <w:pPr>
        <w:ind w:left="1836" w:hanging="360"/>
      </w:pPr>
      <w:rPr>
        <w:rFonts w:ascii="Courier New" w:hAnsi="Courier New" w:hint="default"/>
      </w:rPr>
    </w:lvl>
    <w:lvl w:ilvl="2" w:tplc="08090005">
      <w:start w:val="1"/>
      <w:numFmt w:val="bullet"/>
      <w:lvlText w:val=""/>
      <w:lvlJc w:val="left"/>
      <w:pPr>
        <w:ind w:left="2556" w:hanging="360"/>
      </w:pPr>
      <w:rPr>
        <w:rFonts w:ascii="Wingdings" w:hAnsi="Wingdings" w:hint="default"/>
      </w:rPr>
    </w:lvl>
    <w:lvl w:ilvl="3" w:tplc="08090001">
      <w:start w:val="1"/>
      <w:numFmt w:val="bullet"/>
      <w:lvlText w:val=""/>
      <w:lvlJc w:val="left"/>
      <w:pPr>
        <w:ind w:left="3276" w:hanging="360"/>
      </w:pPr>
      <w:rPr>
        <w:rFonts w:ascii="Symbol" w:hAnsi="Symbol" w:hint="default"/>
      </w:rPr>
    </w:lvl>
    <w:lvl w:ilvl="4" w:tplc="08090003">
      <w:start w:val="1"/>
      <w:numFmt w:val="bullet"/>
      <w:lvlText w:val="o"/>
      <w:lvlJc w:val="left"/>
      <w:pPr>
        <w:ind w:left="3996" w:hanging="360"/>
      </w:pPr>
      <w:rPr>
        <w:rFonts w:ascii="Courier New" w:hAnsi="Courier New" w:hint="default"/>
      </w:rPr>
    </w:lvl>
    <w:lvl w:ilvl="5" w:tplc="08090005">
      <w:start w:val="1"/>
      <w:numFmt w:val="bullet"/>
      <w:lvlText w:val=""/>
      <w:lvlJc w:val="left"/>
      <w:pPr>
        <w:ind w:left="4716" w:hanging="360"/>
      </w:pPr>
      <w:rPr>
        <w:rFonts w:ascii="Wingdings" w:hAnsi="Wingdings" w:hint="default"/>
      </w:rPr>
    </w:lvl>
    <w:lvl w:ilvl="6" w:tplc="08090001">
      <w:start w:val="1"/>
      <w:numFmt w:val="bullet"/>
      <w:lvlText w:val=""/>
      <w:lvlJc w:val="left"/>
      <w:pPr>
        <w:ind w:left="5436" w:hanging="360"/>
      </w:pPr>
      <w:rPr>
        <w:rFonts w:ascii="Symbol" w:hAnsi="Symbol" w:hint="default"/>
      </w:rPr>
    </w:lvl>
    <w:lvl w:ilvl="7" w:tplc="08090003">
      <w:start w:val="1"/>
      <w:numFmt w:val="bullet"/>
      <w:lvlText w:val="o"/>
      <w:lvlJc w:val="left"/>
      <w:pPr>
        <w:ind w:left="6156" w:hanging="360"/>
      </w:pPr>
      <w:rPr>
        <w:rFonts w:ascii="Courier New" w:hAnsi="Courier New" w:hint="default"/>
      </w:rPr>
    </w:lvl>
    <w:lvl w:ilvl="8" w:tplc="08090005">
      <w:start w:val="1"/>
      <w:numFmt w:val="bullet"/>
      <w:lvlText w:val=""/>
      <w:lvlJc w:val="left"/>
      <w:pPr>
        <w:ind w:left="6876" w:hanging="360"/>
      </w:pPr>
      <w:rPr>
        <w:rFonts w:ascii="Wingdings" w:hAnsi="Wingdings" w:hint="default"/>
      </w:rPr>
    </w:lvl>
  </w:abstractNum>
  <w:abstractNum w:abstractNumId="19">
    <w:nsid w:val="593D382B"/>
    <w:multiLevelType w:val="hybridMultilevel"/>
    <w:tmpl w:val="F956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C01277"/>
    <w:multiLevelType w:val="multilevel"/>
    <w:tmpl w:val="00B2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A26F80"/>
    <w:multiLevelType w:val="multilevel"/>
    <w:tmpl w:val="7C5C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91E18"/>
    <w:multiLevelType w:val="multilevel"/>
    <w:tmpl w:val="8A64C27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003004"/>
    <w:multiLevelType w:val="hybridMultilevel"/>
    <w:tmpl w:val="863C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E66BD1"/>
    <w:multiLevelType w:val="multilevel"/>
    <w:tmpl w:val="1C4E3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10"/>
  </w:num>
  <w:num w:numId="4">
    <w:abstractNumId w:val="18"/>
  </w:num>
  <w:num w:numId="5">
    <w:abstractNumId w:val="24"/>
  </w:num>
  <w:num w:numId="6">
    <w:abstractNumId w:val="19"/>
  </w:num>
  <w:num w:numId="7">
    <w:abstractNumId w:val="14"/>
  </w:num>
  <w:num w:numId="8">
    <w:abstractNumId w:val="7"/>
  </w:num>
  <w:num w:numId="9">
    <w:abstractNumId w:val="11"/>
  </w:num>
  <w:num w:numId="10">
    <w:abstractNumId w:val="16"/>
  </w:num>
  <w:num w:numId="11">
    <w:abstractNumId w:val="13"/>
  </w:num>
  <w:num w:numId="12">
    <w:abstractNumId w:val="15"/>
  </w:num>
  <w:num w:numId="13">
    <w:abstractNumId w:val="12"/>
  </w:num>
  <w:num w:numId="14">
    <w:abstractNumId w:val="8"/>
  </w:num>
  <w:num w:numId="15">
    <w:abstractNumId w:val="6"/>
  </w:num>
  <w:num w:numId="16">
    <w:abstractNumId w:val="4"/>
  </w:num>
  <w:num w:numId="17">
    <w:abstractNumId w:val="4"/>
  </w:num>
  <w:num w:numId="18">
    <w:abstractNumId w:val="9"/>
  </w:num>
  <w:num w:numId="19">
    <w:abstractNumId w:val="5"/>
  </w:num>
  <w:num w:numId="20">
    <w:abstractNumId w:val="23"/>
  </w:num>
  <w:num w:numId="21">
    <w:abstractNumId w:val="0"/>
  </w:num>
  <w:num w:numId="22">
    <w:abstractNumId w:val="1"/>
  </w:num>
  <w:num w:numId="23">
    <w:abstractNumId w:val="2"/>
  </w:num>
  <w:num w:numId="24">
    <w:abstractNumId w:val="22"/>
  </w:num>
  <w:num w:numId="25">
    <w:abstractNumId w:val="21"/>
  </w:num>
  <w:num w:numId="2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92"/>
    <w:rsid w:val="00007AE1"/>
    <w:rsid w:val="00007EA1"/>
    <w:rsid w:val="00007EA3"/>
    <w:rsid w:val="00010DA1"/>
    <w:rsid w:val="00023486"/>
    <w:rsid w:val="00024F49"/>
    <w:rsid w:val="00025A47"/>
    <w:rsid w:val="00031A0E"/>
    <w:rsid w:val="00037CC1"/>
    <w:rsid w:val="000459A6"/>
    <w:rsid w:val="0005013F"/>
    <w:rsid w:val="00057526"/>
    <w:rsid w:val="00057961"/>
    <w:rsid w:val="00060939"/>
    <w:rsid w:val="000702EB"/>
    <w:rsid w:val="00085CB0"/>
    <w:rsid w:val="000867B6"/>
    <w:rsid w:val="00095B10"/>
    <w:rsid w:val="000A2BEE"/>
    <w:rsid w:val="000A3CD2"/>
    <w:rsid w:val="000B4ED9"/>
    <w:rsid w:val="000C7686"/>
    <w:rsid w:val="000D47E9"/>
    <w:rsid w:val="001078BA"/>
    <w:rsid w:val="0012348F"/>
    <w:rsid w:val="0014437D"/>
    <w:rsid w:val="00154558"/>
    <w:rsid w:val="00162060"/>
    <w:rsid w:val="00162223"/>
    <w:rsid w:val="0016225D"/>
    <w:rsid w:val="00174D61"/>
    <w:rsid w:val="001874FC"/>
    <w:rsid w:val="00195EDC"/>
    <w:rsid w:val="001A0EEB"/>
    <w:rsid w:val="001A1CA6"/>
    <w:rsid w:val="001A3DC3"/>
    <w:rsid w:val="001B61BC"/>
    <w:rsid w:val="001B6823"/>
    <w:rsid w:val="001C2414"/>
    <w:rsid w:val="001C6D3B"/>
    <w:rsid w:val="001D31AA"/>
    <w:rsid w:val="001D7F21"/>
    <w:rsid w:val="001E341D"/>
    <w:rsid w:val="001F2E2E"/>
    <w:rsid w:val="002014B1"/>
    <w:rsid w:val="00216A34"/>
    <w:rsid w:val="002202A1"/>
    <w:rsid w:val="002418B2"/>
    <w:rsid w:val="002555B6"/>
    <w:rsid w:val="00261DE8"/>
    <w:rsid w:val="00270F7F"/>
    <w:rsid w:val="00285CE9"/>
    <w:rsid w:val="00291383"/>
    <w:rsid w:val="002A13BE"/>
    <w:rsid w:val="002B7CD6"/>
    <w:rsid w:val="002D1E66"/>
    <w:rsid w:val="002D7E5A"/>
    <w:rsid w:val="002E10AD"/>
    <w:rsid w:val="002E1B55"/>
    <w:rsid w:val="002E4EAF"/>
    <w:rsid w:val="002F2E6B"/>
    <w:rsid w:val="003232C5"/>
    <w:rsid w:val="00323A7B"/>
    <w:rsid w:val="0032427B"/>
    <w:rsid w:val="00326F7D"/>
    <w:rsid w:val="00334F7F"/>
    <w:rsid w:val="00336CF3"/>
    <w:rsid w:val="00346DBE"/>
    <w:rsid w:val="003509D0"/>
    <w:rsid w:val="00377F50"/>
    <w:rsid w:val="00381251"/>
    <w:rsid w:val="00385201"/>
    <w:rsid w:val="003A32DB"/>
    <w:rsid w:val="003C5A3A"/>
    <w:rsid w:val="003D0D2E"/>
    <w:rsid w:val="003D4DB0"/>
    <w:rsid w:val="003E12E4"/>
    <w:rsid w:val="004243F1"/>
    <w:rsid w:val="00434DC2"/>
    <w:rsid w:val="004600FC"/>
    <w:rsid w:val="00476751"/>
    <w:rsid w:val="00476A38"/>
    <w:rsid w:val="004834A7"/>
    <w:rsid w:val="00494C81"/>
    <w:rsid w:val="00497BC2"/>
    <w:rsid w:val="004A44EC"/>
    <w:rsid w:val="004C708A"/>
    <w:rsid w:val="004E53C7"/>
    <w:rsid w:val="004F578A"/>
    <w:rsid w:val="004F7482"/>
    <w:rsid w:val="00516623"/>
    <w:rsid w:val="00522359"/>
    <w:rsid w:val="005344A1"/>
    <w:rsid w:val="00547480"/>
    <w:rsid w:val="005537FD"/>
    <w:rsid w:val="00553C37"/>
    <w:rsid w:val="00562C10"/>
    <w:rsid w:val="00563B78"/>
    <w:rsid w:val="005672C4"/>
    <w:rsid w:val="005749D1"/>
    <w:rsid w:val="005772B0"/>
    <w:rsid w:val="00580C4F"/>
    <w:rsid w:val="00582450"/>
    <w:rsid w:val="00583DB3"/>
    <w:rsid w:val="00585FD5"/>
    <w:rsid w:val="005D335B"/>
    <w:rsid w:val="006019BC"/>
    <w:rsid w:val="00602074"/>
    <w:rsid w:val="00604FE2"/>
    <w:rsid w:val="00610B24"/>
    <w:rsid w:val="0061195A"/>
    <w:rsid w:val="00632128"/>
    <w:rsid w:val="00643FFE"/>
    <w:rsid w:val="006501DA"/>
    <w:rsid w:val="0065043F"/>
    <w:rsid w:val="00652287"/>
    <w:rsid w:val="00653D8C"/>
    <w:rsid w:val="00656202"/>
    <w:rsid w:val="0065704D"/>
    <w:rsid w:val="0067284A"/>
    <w:rsid w:val="00677712"/>
    <w:rsid w:val="0068273D"/>
    <w:rsid w:val="00686BEC"/>
    <w:rsid w:val="00694815"/>
    <w:rsid w:val="00696392"/>
    <w:rsid w:val="006B36E0"/>
    <w:rsid w:val="006B57D6"/>
    <w:rsid w:val="006D4580"/>
    <w:rsid w:val="006E11F4"/>
    <w:rsid w:val="006E16AF"/>
    <w:rsid w:val="006E3CAE"/>
    <w:rsid w:val="006F7583"/>
    <w:rsid w:val="007379C6"/>
    <w:rsid w:val="00742988"/>
    <w:rsid w:val="007462B2"/>
    <w:rsid w:val="00762FC2"/>
    <w:rsid w:val="00770E2D"/>
    <w:rsid w:val="00780825"/>
    <w:rsid w:val="00784CB7"/>
    <w:rsid w:val="007855DE"/>
    <w:rsid w:val="00786044"/>
    <w:rsid w:val="00796B1F"/>
    <w:rsid w:val="007B4F3C"/>
    <w:rsid w:val="007B529A"/>
    <w:rsid w:val="007B5D94"/>
    <w:rsid w:val="007C1685"/>
    <w:rsid w:val="007C58A6"/>
    <w:rsid w:val="007C632E"/>
    <w:rsid w:val="007D2ACC"/>
    <w:rsid w:val="007F014E"/>
    <w:rsid w:val="00814E67"/>
    <w:rsid w:val="00820E99"/>
    <w:rsid w:val="0083290C"/>
    <w:rsid w:val="00845527"/>
    <w:rsid w:val="00845C59"/>
    <w:rsid w:val="008902BC"/>
    <w:rsid w:val="00892B85"/>
    <w:rsid w:val="008A7D29"/>
    <w:rsid w:val="008B36A4"/>
    <w:rsid w:val="008C1219"/>
    <w:rsid w:val="008D1CAC"/>
    <w:rsid w:val="008E7D6C"/>
    <w:rsid w:val="008F537A"/>
    <w:rsid w:val="00905D49"/>
    <w:rsid w:val="009118B9"/>
    <w:rsid w:val="009201E5"/>
    <w:rsid w:val="00921FDF"/>
    <w:rsid w:val="00927AF9"/>
    <w:rsid w:val="00932D05"/>
    <w:rsid w:val="009408D2"/>
    <w:rsid w:val="009502AE"/>
    <w:rsid w:val="00955165"/>
    <w:rsid w:val="00975420"/>
    <w:rsid w:val="0097688B"/>
    <w:rsid w:val="00993C4A"/>
    <w:rsid w:val="00997068"/>
    <w:rsid w:val="009A7B4C"/>
    <w:rsid w:val="009B55A9"/>
    <w:rsid w:val="009C5F6B"/>
    <w:rsid w:val="009E2283"/>
    <w:rsid w:val="009F2ABF"/>
    <w:rsid w:val="009F380D"/>
    <w:rsid w:val="00A03AD6"/>
    <w:rsid w:val="00A05020"/>
    <w:rsid w:val="00A4433F"/>
    <w:rsid w:val="00A5302B"/>
    <w:rsid w:val="00A62216"/>
    <w:rsid w:val="00A62B62"/>
    <w:rsid w:val="00A810D9"/>
    <w:rsid w:val="00A81A37"/>
    <w:rsid w:val="00A83714"/>
    <w:rsid w:val="00A85E8F"/>
    <w:rsid w:val="00A860B3"/>
    <w:rsid w:val="00A96611"/>
    <w:rsid w:val="00AA41BF"/>
    <w:rsid w:val="00AD240F"/>
    <w:rsid w:val="00AD56F3"/>
    <w:rsid w:val="00AF44C6"/>
    <w:rsid w:val="00AF49A2"/>
    <w:rsid w:val="00B00C40"/>
    <w:rsid w:val="00B03D0F"/>
    <w:rsid w:val="00B15BEC"/>
    <w:rsid w:val="00B1605D"/>
    <w:rsid w:val="00B16876"/>
    <w:rsid w:val="00B20A06"/>
    <w:rsid w:val="00B210BB"/>
    <w:rsid w:val="00B25EEF"/>
    <w:rsid w:val="00B327D7"/>
    <w:rsid w:val="00B359B2"/>
    <w:rsid w:val="00B375B7"/>
    <w:rsid w:val="00B4229D"/>
    <w:rsid w:val="00B4348F"/>
    <w:rsid w:val="00B524BB"/>
    <w:rsid w:val="00B52CFA"/>
    <w:rsid w:val="00B67D22"/>
    <w:rsid w:val="00B75654"/>
    <w:rsid w:val="00B75AF4"/>
    <w:rsid w:val="00B814EC"/>
    <w:rsid w:val="00B81DE1"/>
    <w:rsid w:val="00B9036C"/>
    <w:rsid w:val="00BA21B4"/>
    <w:rsid w:val="00BB30C4"/>
    <w:rsid w:val="00BB3126"/>
    <w:rsid w:val="00BC1501"/>
    <w:rsid w:val="00BD6460"/>
    <w:rsid w:val="00C21C3B"/>
    <w:rsid w:val="00C30DCA"/>
    <w:rsid w:val="00C32192"/>
    <w:rsid w:val="00C35B05"/>
    <w:rsid w:val="00C4385B"/>
    <w:rsid w:val="00C9412D"/>
    <w:rsid w:val="00C95F23"/>
    <w:rsid w:val="00C97DD9"/>
    <w:rsid w:val="00CA37C7"/>
    <w:rsid w:val="00CA4EE5"/>
    <w:rsid w:val="00CC5FD5"/>
    <w:rsid w:val="00CC6F6C"/>
    <w:rsid w:val="00CD6444"/>
    <w:rsid w:val="00CE14E4"/>
    <w:rsid w:val="00CE1BCE"/>
    <w:rsid w:val="00CE617F"/>
    <w:rsid w:val="00D17EEB"/>
    <w:rsid w:val="00D21829"/>
    <w:rsid w:val="00D545E9"/>
    <w:rsid w:val="00D72BD4"/>
    <w:rsid w:val="00D84F5B"/>
    <w:rsid w:val="00DA1DD0"/>
    <w:rsid w:val="00DA1EB0"/>
    <w:rsid w:val="00DE0295"/>
    <w:rsid w:val="00DE1FA1"/>
    <w:rsid w:val="00DF3215"/>
    <w:rsid w:val="00DF4CF2"/>
    <w:rsid w:val="00E06FAB"/>
    <w:rsid w:val="00E0779E"/>
    <w:rsid w:val="00E145F5"/>
    <w:rsid w:val="00E14CF5"/>
    <w:rsid w:val="00E14DBF"/>
    <w:rsid w:val="00E20B7D"/>
    <w:rsid w:val="00E227A9"/>
    <w:rsid w:val="00E262CF"/>
    <w:rsid w:val="00E27F90"/>
    <w:rsid w:val="00E444F6"/>
    <w:rsid w:val="00E46A45"/>
    <w:rsid w:val="00E62049"/>
    <w:rsid w:val="00E67FBB"/>
    <w:rsid w:val="00E81588"/>
    <w:rsid w:val="00E928FE"/>
    <w:rsid w:val="00ED3FDC"/>
    <w:rsid w:val="00EE3FFD"/>
    <w:rsid w:val="00F05DB2"/>
    <w:rsid w:val="00F26D59"/>
    <w:rsid w:val="00F31BDE"/>
    <w:rsid w:val="00F4279A"/>
    <w:rsid w:val="00F92823"/>
    <w:rsid w:val="00FA50E0"/>
    <w:rsid w:val="00FA576A"/>
    <w:rsid w:val="00FC077F"/>
    <w:rsid w:val="00FC084B"/>
    <w:rsid w:val="00FC1EAC"/>
    <w:rsid w:val="00FC5354"/>
    <w:rsid w:val="00FD48E5"/>
    <w:rsid w:val="00FD4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191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DC"/>
    <w:rPr>
      <w:sz w:val="24"/>
      <w:szCs w:val="24"/>
      <w:lang w:eastAsia="en-US"/>
    </w:rPr>
  </w:style>
  <w:style w:type="paragraph" w:styleId="Heading1">
    <w:name w:val="heading 1"/>
    <w:basedOn w:val="Normal"/>
    <w:next w:val="Normal"/>
    <w:link w:val="Heading1Char"/>
    <w:uiPriority w:val="99"/>
    <w:qFormat/>
    <w:rsid w:val="00ED3FDC"/>
    <w:pPr>
      <w:keepNext/>
      <w:outlineLvl w:val="0"/>
    </w:pPr>
    <w:rPr>
      <w:b/>
      <w:bCs/>
    </w:rPr>
  </w:style>
  <w:style w:type="paragraph" w:styleId="Heading3">
    <w:name w:val="heading 3"/>
    <w:basedOn w:val="Normal"/>
    <w:next w:val="Normal"/>
    <w:link w:val="Heading3Char"/>
    <w:uiPriority w:val="99"/>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B0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A0B0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rsid w:val="00B524BB"/>
    <w:rPr>
      <w:rFonts w:ascii="Tahoma" w:hAnsi="Tahoma" w:cs="Tahoma"/>
      <w:sz w:val="16"/>
      <w:szCs w:val="16"/>
    </w:rPr>
  </w:style>
  <w:style w:type="character" w:customStyle="1" w:styleId="BalloonTextChar">
    <w:name w:val="Balloon Text Char"/>
    <w:link w:val="BalloonText"/>
    <w:uiPriority w:val="99"/>
    <w:semiHidden/>
    <w:rsid w:val="00EA0B07"/>
    <w:rPr>
      <w:sz w:val="0"/>
      <w:szCs w:val="0"/>
      <w:lang w:eastAsia="en-US"/>
    </w:rPr>
  </w:style>
  <w:style w:type="character" w:styleId="Hyperlink">
    <w:name w:val="Hyperlink"/>
    <w:uiPriority w:val="99"/>
    <w:rsid w:val="000A3CD2"/>
    <w:rPr>
      <w:rFonts w:cs="Times New Roman"/>
      <w:color w:val="0000FF"/>
      <w:u w:val="single"/>
    </w:rPr>
  </w:style>
  <w:style w:type="character" w:styleId="FollowedHyperlink">
    <w:name w:val="FollowedHyperlink"/>
    <w:uiPriority w:val="99"/>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uiPriority w:val="99"/>
    <w:rsid w:val="00CE1BCE"/>
    <w:pPr>
      <w:tabs>
        <w:tab w:val="center" w:pos="4153"/>
        <w:tab w:val="right" w:pos="8306"/>
      </w:tabs>
    </w:pPr>
  </w:style>
  <w:style w:type="character" w:customStyle="1" w:styleId="HeaderChar">
    <w:name w:val="Header Char"/>
    <w:link w:val="Header"/>
    <w:uiPriority w:val="99"/>
    <w:locked/>
    <w:rsid w:val="00A810D9"/>
    <w:rPr>
      <w:sz w:val="24"/>
      <w:lang w:eastAsia="en-US"/>
    </w:rPr>
  </w:style>
  <w:style w:type="paragraph" w:styleId="Footer">
    <w:name w:val="footer"/>
    <w:basedOn w:val="Normal"/>
    <w:link w:val="FooterChar"/>
    <w:uiPriority w:val="99"/>
    <w:rsid w:val="00CE1BCE"/>
    <w:pPr>
      <w:tabs>
        <w:tab w:val="center" w:pos="4153"/>
        <w:tab w:val="right" w:pos="8306"/>
      </w:tabs>
    </w:pPr>
  </w:style>
  <w:style w:type="character" w:customStyle="1" w:styleId="FooterChar">
    <w:name w:val="Footer Char"/>
    <w:link w:val="Footer"/>
    <w:uiPriority w:val="99"/>
    <w:locked/>
    <w:rsid w:val="00060939"/>
    <w:rPr>
      <w:sz w:val="24"/>
      <w:lang w:eastAsia="en-US"/>
    </w:rPr>
  </w:style>
  <w:style w:type="character" w:styleId="Emphasis">
    <w:name w:val="Emphasis"/>
    <w:uiPriority w:val="99"/>
    <w:qFormat/>
    <w:rsid w:val="00B16876"/>
    <w:rPr>
      <w:rFonts w:cs="Times New Roman"/>
      <w:i/>
    </w:rPr>
  </w:style>
  <w:style w:type="paragraph" w:styleId="ListParagraph">
    <w:name w:val="List Paragraph"/>
    <w:basedOn w:val="Normal"/>
    <w:uiPriority w:val="34"/>
    <w:qFormat/>
    <w:rsid w:val="00FC084B"/>
    <w:pPr>
      <w:spacing w:after="200" w:line="276" w:lineRule="auto"/>
      <w:ind w:left="720"/>
      <w:contextualSpacing/>
    </w:pPr>
    <w:rPr>
      <w:rFonts w:ascii="Calibri" w:hAnsi="Calibri"/>
      <w:sz w:val="22"/>
      <w:szCs w:val="22"/>
    </w:rPr>
  </w:style>
  <w:style w:type="character" w:styleId="Strong">
    <w:name w:val="Strong"/>
    <w:uiPriority w:val="99"/>
    <w:qFormat/>
    <w:locked/>
    <w:rsid w:val="00FC084B"/>
    <w:rPr>
      <w:rFonts w:cs="Times New Roman"/>
      <w:b/>
      <w:bCs/>
    </w:rPr>
  </w:style>
  <w:style w:type="table" w:styleId="TableGrid">
    <w:name w:val="Table Grid"/>
    <w:basedOn w:val="TableNormal"/>
    <w:rsid w:val="006777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834A7"/>
    <w:rPr>
      <w:rFonts w:ascii="Calibri" w:eastAsia="Calibri" w:hAnsi="Calibri" w:cs="Calibri"/>
      <w:sz w:val="22"/>
      <w:szCs w:val="22"/>
    </w:rPr>
  </w:style>
  <w:style w:type="character" w:customStyle="1" w:styleId="title7">
    <w:name w:val="title7"/>
    <w:rsid w:val="002555B6"/>
    <w:rPr>
      <w:b w:val="0"/>
      <w:bCs w:val="0"/>
      <w:i w:val="0"/>
      <w:iCs w:val="0"/>
      <w:strike w:val="0"/>
      <w:dstrike w:val="0"/>
      <w:color w:val="D92E10"/>
      <w:sz w:val="26"/>
      <w:szCs w:val="26"/>
      <w:u w:val="none"/>
      <w:effect w:val="none"/>
    </w:rPr>
  </w:style>
  <w:style w:type="paragraph" w:customStyle="1" w:styleId="default">
    <w:name w:val="default"/>
    <w:basedOn w:val="Normal"/>
    <w:rsid w:val="002555B6"/>
    <w:rPr>
      <w:lang w:eastAsia="en-GB"/>
    </w:rPr>
  </w:style>
  <w:style w:type="table" w:customStyle="1" w:styleId="TableGrid1">
    <w:name w:val="Table Grid1"/>
    <w:basedOn w:val="TableNormal"/>
    <w:next w:val="TableGrid"/>
    <w:uiPriority w:val="59"/>
    <w:rsid w:val="006827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975420"/>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007E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DC"/>
    <w:rPr>
      <w:sz w:val="24"/>
      <w:szCs w:val="24"/>
      <w:lang w:eastAsia="en-US"/>
    </w:rPr>
  </w:style>
  <w:style w:type="paragraph" w:styleId="Heading1">
    <w:name w:val="heading 1"/>
    <w:basedOn w:val="Normal"/>
    <w:next w:val="Normal"/>
    <w:link w:val="Heading1Char"/>
    <w:uiPriority w:val="99"/>
    <w:qFormat/>
    <w:rsid w:val="00ED3FDC"/>
    <w:pPr>
      <w:keepNext/>
      <w:outlineLvl w:val="0"/>
    </w:pPr>
    <w:rPr>
      <w:b/>
      <w:bCs/>
    </w:rPr>
  </w:style>
  <w:style w:type="paragraph" w:styleId="Heading3">
    <w:name w:val="heading 3"/>
    <w:basedOn w:val="Normal"/>
    <w:next w:val="Normal"/>
    <w:link w:val="Heading3Char"/>
    <w:uiPriority w:val="99"/>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B0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A0B0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rsid w:val="00B524BB"/>
    <w:rPr>
      <w:rFonts w:ascii="Tahoma" w:hAnsi="Tahoma" w:cs="Tahoma"/>
      <w:sz w:val="16"/>
      <w:szCs w:val="16"/>
    </w:rPr>
  </w:style>
  <w:style w:type="character" w:customStyle="1" w:styleId="BalloonTextChar">
    <w:name w:val="Balloon Text Char"/>
    <w:link w:val="BalloonText"/>
    <w:uiPriority w:val="99"/>
    <w:semiHidden/>
    <w:rsid w:val="00EA0B07"/>
    <w:rPr>
      <w:sz w:val="0"/>
      <w:szCs w:val="0"/>
      <w:lang w:eastAsia="en-US"/>
    </w:rPr>
  </w:style>
  <w:style w:type="character" w:styleId="Hyperlink">
    <w:name w:val="Hyperlink"/>
    <w:uiPriority w:val="99"/>
    <w:rsid w:val="000A3CD2"/>
    <w:rPr>
      <w:rFonts w:cs="Times New Roman"/>
      <w:color w:val="0000FF"/>
      <w:u w:val="single"/>
    </w:rPr>
  </w:style>
  <w:style w:type="character" w:styleId="FollowedHyperlink">
    <w:name w:val="FollowedHyperlink"/>
    <w:uiPriority w:val="99"/>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uiPriority w:val="99"/>
    <w:rsid w:val="00CE1BCE"/>
    <w:pPr>
      <w:tabs>
        <w:tab w:val="center" w:pos="4153"/>
        <w:tab w:val="right" w:pos="8306"/>
      </w:tabs>
    </w:pPr>
  </w:style>
  <w:style w:type="character" w:customStyle="1" w:styleId="HeaderChar">
    <w:name w:val="Header Char"/>
    <w:link w:val="Header"/>
    <w:uiPriority w:val="99"/>
    <w:locked/>
    <w:rsid w:val="00A810D9"/>
    <w:rPr>
      <w:sz w:val="24"/>
      <w:lang w:eastAsia="en-US"/>
    </w:rPr>
  </w:style>
  <w:style w:type="paragraph" w:styleId="Footer">
    <w:name w:val="footer"/>
    <w:basedOn w:val="Normal"/>
    <w:link w:val="FooterChar"/>
    <w:uiPriority w:val="99"/>
    <w:rsid w:val="00CE1BCE"/>
    <w:pPr>
      <w:tabs>
        <w:tab w:val="center" w:pos="4153"/>
        <w:tab w:val="right" w:pos="8306"/>
      </w:tabs>
    </w:pPr>
  </w:style>
  <w:style w:type="character" w:customStyle="1" w:styleId="FooterChar">
    <w:name w:val="Footer Char"/>
    <w:link w:val="Footer"/>
    <w:uiPriority w:val="99"/>
    <w:locked/>
    <w:rsid w:val="00060939"/>
    <w:rPr>
      <w:sz w:val="24"/>
      <w:lang w:eastAsia="en-US"/>
    </w:rPr>
  </w:style>
  <w:style w:type="character" w:styleId="Emphasis">
    <w:name w:val="Emphasis"/>
    <w:uiPriority w:val="99"/>
    <w:qFormat/>
    <w:rsid w:val="00B16876"/>
    <w:rPr>
      <w:rFonts w:cs="Times New Roman"/>
      <w:i/>
    </w:rPr>
  </w:style>
  <w:style w:type="paragraph" w:styleId="ListParagraph">
    <w:name w:val="List Paragraph"/>
    <w:basedOn w:val="Normal"/>
    <w:uiPriority w:val="34"/>
    <w:qFormat/>
    <w:rsid w:val="00FC084B"/>
    <w:pPr>
      <w:spacing w:after="200" w:line="276" w:lineRule="auto"/>
      <w:ind w:left="720"/>
      <w:contextualSpacing/>
    </w:pPr>
    <w:rPr>
      <w:rFonts w:ascii="Calibri" w:hAnsi="Calibri"/>
      <w:sz w:val="22"/>
      <w:szCs w:val="22"/>
    </w:rPr>
  </w:style>
  <w:style w:type="character" w:styleId="Strong">
    <w:name w:val="Strong"/>
    <w:uiPriority w:val="99"/>
    <w:qFormat/>
    <w:locked/>
    <w:rsid w:val="00FC084B"/>
    <w:rPr>
      <w:rFonts w:cs="Times New Roman"/>
      <w:b/>
      <w:bCs/>
    </w:rPr>
  </w:style>
  <w:style w:type="table" w:styleId="TableGrid">
    <w:name w:val="Table Grid"/>
    <w:basedOn w:val="TableNormal"/>
    <w:rsid w:val="006777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834A7"/>
    <w:rPr>
      <w:rFonts w:ascii="Calibri" w:eastAsia="Calibri" w:hAnsi="Calibri" w:cs="Calibri"/>
      <w:sz w:val="22"/>
      <w:szCs w:val="22"/>
    </w:rPr>
  </w:style>
  <w:style w:type="character" w:customStyle="1" w:styleId="title7">
    <w:name w:val="title7"/>
    <w:rsid w:val="002555B6"/>
    <w:rPr>
      <w:b w:val="0"/>
      <w:bCs w:val="0"/>
      <w:i w:val="0"/>
      <w:iCs w:val="0"/>
      <w:strike w:val="0"/>
      <w:dstrike w:val="0"/>
      <w:color w:val="D92E10"/>
      <w:sz w:val="26"/>
      <w:szCs w:val="26"/>
      <w:u w:val="none"/>
      <w:effect w:val="none"/>
    </w:rPr>
  </w:style>
  <w:style w:type="paragraph" w:customStyle="1" w:styleId="default">
    <w:name w:val="default"/>
    <w:basedOn w:val="Normal"/>
    <w:rsid w:val="002555B6"/>
    <w:rPr>
      <w:lang w:eastAsia="en-GB"/>
    </w:rPr>
  </w:style>
  <w:style w:type="table" w:customStyle="1" w:styleId="TableGrid1">
    <w:name w:val="Table Grid1"/>
    <w:basedOn w:val="TableNormal"/>
    <w:next w:val="TableGrid"/>
    <w:uiPriority w:val="59"/>
    <w:rsid w:val="006827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975420"/>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00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794">
      <w:bodyDiv w:val="1"/>
      <w:marLeft w:val="0"/>
      <w:marRight w:val="0"/>
      <w:marTop w:val="0"/>
      <w:marBottom w:val="0"/>
      <w:divBdr>
        <w:top w:val="none" w:sz="0" w:space="0" w:color="auto"/>
        <w:left w:val="none" w:sz="0" w:space="0" w:color="auto"/>
        <w:bottom w:val="none" w:sz="0" w:space="0" w:color="auto"/>
        <w:right w:val="none" w:sz="0" w:space="0" w:color="auto"/>
      </w:divBdr>
    </w:div>
    <w:div w:id="21177735">
      <w:bodyDiv w:val="1"/>
      <w:marLeft w:val="0"/>
      <w:marRight w:val="0"/>
      <w:marTop w:val="0"/>
      <w:marBottom w:val="0"/>
      <w:divBdr>
        <w:top w:val="none" w:sz="0" w:space="0" w:color="auto"/>
        <w:left w:val="none" w:sz="0" w:space="0" w:color="auto"/>
        <w:bottom w:val="none" w:sz="0" w:space="0" w:color="auto"/>
        <w:right w:val="none" w:sz="0" w:space="0" w:color="auto"/>
      </w:divBdr>
    </w:div>
    <w:div w:id="50155621">
      <w:bodyDiv w:val="1"/>
      <w:marLeft w:val="0"/>
      <w:marRight w:val="0"/>
      <w:marTop w:val="0"/>
      <w:marBottom w:val="0"/>
      <w:divBdr>
        <w:top w:val="none" w:sz="0" w:space="0" w:color="auto"/>
        <w:left w:val="none" w:sz="0" w:space="0" w:color="auto"/>
        <w:bottom w:val="none" w:sz="0" w:space="0" w:color="auto"/>
        <w:right w:val="none" w:sz="0" w:space="0" w:color="auto"/>
      </w:divBdr>
    </w:div>
    <w:div w:id="392435957">
      <w:bodyDiv w:val="1"/>
      <w:marLeft w:val="0"/>
      <w:marRight w:val="0"/>
      <w:marTop w:val="0"/>
      <w:marBottom w:val="0"/>
      <w:divBdr>
        <w:top w:val="none" w:sz="0" w:space="0" w:color="auto"/>
        <w:left w:val="none" w:sz="0" w:space="0" w:color="auto"/>
        <w:bottom w:val="none" w:sz="0" w:space="0" w:color="auto"/>
        <w:right w:val="none" w:sz="0" w:space="0" w:color="auto"/>
      </w:divBdr>
    </w:div>
    <w:div w:id="798493441">
      <w:bodyDiv w:val="1"/>
      <w:marLeft w:val="0"/>
      <w:marRight w:val="0"/>
      <w:marTop w:val="0"/>
      <w:marBottom w:val="0"/>
      <w:divBdr>
        <w:top w:val="none" w:sz="0" w:space="0" w:color="auto"/>
        <w:left w:val="none" w:sz="0" w:space="0" w:color="auto"/>
        <w:bottom w:val="none" w:sz="0" w:space="0" w:color="auto"/>
        <w:right w:val="none" w:sz="0" w:space="0" w:color="auto"/>
      </w:divBdr>
    </w:div>
    <w:div w:id="899250477">
      <w:bodyDiv w:val="1"/>
      <w:marLeft w:val="0"/>
      <w:marRight w:val="0"/>
      <w:marTop w:val="0"/>
      <w:marBottom w:val="0"/>
      <w:divBdr>
        <w:top w:val="none" w:sz="0" w:space="0" w:color="auto"/>
        <w:left w:val="none" w:sz="0" w:space="0" w:color="auto"/>
        <w:bottom w:val="none" w:sz="0" w:space="0" w:color="auto"/>
        <w:right w:val="none" w:sz="0" w:space="0" w:color="auto"/>
      </w:divBdr>
    </w:div>
    <w:div w:id="1040401395">
      <w:bodyDiv w:val="1"/>
      <w:marLeft w:val="0"/>
      <w:marRight w:val="0"/>
      <w:marTop w:val="0"/>
      <w:marBottom w:val="0"/>
      <w:divBdr>
        <w:top w:val="none" w:sz="0" w:space="0" w:color="auto"/>
        <w:left w:val="none" w:sz="0" w:space="0" w:color="auto"/>
        <w:bottom w:val="none" w:sz="0" w:space="0" w:color="auto"/>
        <w:right w:val="none" w:sz="0" w:space="0" w:color="auto"/>
      </w:divBdr>
    </w:div>
    <w:div w:id="1049375478">
      <w:bodyDiv w:val="1"/>
      <w:marLeft w:val="0"/>
      <w:marRight w:val="0"/>
      <w:marTop w:val="0"/>
      <w:marBottom w:val="0"/>
      <w:divBdr>
        <w:top w:val="none" w:sz="0" w:space="0" w:color="auto"/>
        <w:left w:val="none" w:sz="0" w:space="0" w:color="auto"/>
        <w:bottom w:val="none" w:sz="0" w:space="0" w:color="auto"/>
        <w:right w:val="none" w:sz="0" w:space="0" w:color="auto"/>
      </w:divBdr>
    </w:div>
    <w:div w:id="1060322956">
      <w:bodyDiv w:val="1"/>
      <w:marLeft w:val="0"/>
      <w:marRight w:val="0"/>
      <w:marTop w:val="0"/>
      <w:marBottom w:val="0"/>
      <w:divBdr>
        <w:top w:val="none" w:sz="0" w:space="0" w:color="auto"/>
        <w:left w:val="none" w:sz="0" w:space="0" w:color="auto"/>
        <w:bottom w:val="none" w:sz="0" w:space="0" w:color="auto"/>
        <w:right w:val="none" w:sz="0" w:space="0" w:color="auto"/>
      </w:divBdr>
    </w:div>
    <w:div w:id="1102795641">
      <w:bodyDiv w:val="1"/>
      <w:marLeft w:val="0"/>
      <w:marRight w:val="0"/>
      <w:marTop w:val="0"/>
      <w:marBottom w:val="0"/>
      <w:divBdr>
        <w:top w:val="none" w:sz="0" w:space="0" w:color="auto"/>
        <w:left w:val="none" w:sz="0" w:space="0" w:color="auto"/>
        <w:bottom w:val="none" w:sz="0" w:space="0" w:color="auto"/>
        <w:right w:val="none" w:sz="0" w:space="0" w:color="auto"/>
      </w:divBdr>
    </w:div>
    <w:div w:id="1146820874">
      <w:marLeft w:val="0"/>
      <w:marRight w:val="0"/>
      <w:marTop w:val="0"/>
      <w:marBottom w:val="0"/>
      <w:divBdr>
        <w:top w:val="none" w:sz="0" w:space="0" w:color="auto"/>
        <w:left w:val="none" w:sz="0" w:space="0" w:color="auto"/>
        <w:bottom w:val="none" w:sz="0" w:space="0" w:color="auto"/>
        <w:right w:val="none" w:sz="0" w:space="0" w:color="auto"/>
      </w:divBdr>
    </w:div>
    <w:div w:id="1146820875">
      <w:marLeft w:val="0"/>
      <w:marRight w:val="0"/>
      <w:marTop w:val="0"/>
      <w:marBottom w:val="0"/>
      <w:divBdr>
        <w:top w:val="none" w:sz="0" w:space="0" w:color="auto"/>
        <w:left w:val="none" w:sz="0" w:space="0" w:color="auto"/>
        <w:bottom w:val="none" w:sz="0" w:space="0" w:color="auto"/>
        <w:right w:val="none" w:sz="0" w:space="0" w:color="auto"/>
      </w:divBdr>
    </w:div>
    <w:div w:id="1146820876">
      <w:marLeft w:val="0"/>
      <w:marRight w:val="0"/>
      <w:marTop w:val="0"/>
      <w:marBottom w:val="0"/>
      <w:divBdr>
        <w:top w:val="none" w:sz="0" w:space="0" w:color="auto"/>
        <w:left w:val="none" w:sz="0" w:space="0" w:color="auto"/>
        <w:bottom w:val="none" w:sz="0" w:space="0" w:color="auto"/>
        <w:right w:val="none" w:sz="0" w:space="0" w:color="auto"/>
      </w:divBdr>
    </w:div>
    <w:div w:id="1146820877">
      <w:marLeft w:val="0"/>
      <w:marRight w:val="0"/>
      <w:marTop w:val="0"/>
      <w:marBottom w:val="0"/>
      <w:divBdr>
        <w:top w:val="none" w:sz="0" w:space="0" w:color="auto"/>
        <w:left w:val="none" w:sz="0" w:space="0" w:color="auto"/>
        <w:bottom w:val="none" w:sz="0" w:space="0" w:color="auto"/>
        <w:right w:val="none" w:sz="0" w:space="0" w:color="auto"/>
      </w:divBdr>
    </w:div>
    <w:div w:id="1146820878">
      <w:marLeft w:val="0"/>
      <w:marRight w:val="0"/>
      <w:marTop w:val="0"/>
      <w:marBottom w:val="0"/>
      <w:divBdr>
        <w:top w:val="none" w:sz="0" w:space="0" w:color="auto"/>
        <w:left w:val="none" w:sz="0" w:space="0" w:color="auto"/>
        <w:bottom w:val="none" w:sz="0" w:space="0" w:color="auto"/>
        <w:right w:val="none" w:sz="0" w:space="0" w:color="auto"/>
      </w:divBdr>
    </w:div>
    <w:div w:id="1146820879">
      <w:marLeft w:val="0"/>
      <w:marRight w:val="0"/>
      <w:marTop w:val="0"/>
      <w:marBottom w:val="0"/>
      <w:divBdr>
        <w:top w:val="none" w:sz="0" w:space="0" w:color="auto"/>
        <w:left w:val="none" w:sz="0" w:space="0" w:color="auto"/>
        <w:bottom w:val="none" w:sz="0" w:space="0" w:color="auto"/>
        <w:right w:val="none" w:sz="0" w:space="0" w:color="auto"/>
      </w:divBdr>
    </w:div>
    <w:div w:id="1146820880">
      <w:marLeft w:val="0"/>
      <w:marRight w:val="0"/>
      <w:marTop w:val="0"/>
      <w:marBottom w:val="0"/>
      <w:divBdr>
        <w:top w:val="none" w:sz="0" w:space="0" w:color="auto"/>
        <w:left w:val="none" w:sz="0" w:space="0" w:color="auto"/>
        <w:bottom w:val="none" w:sz="0" w:space="0" w:color="auto"/>
        <w:right w:val="none" w:sz="0" w:space="0" w:color="auto"/>
      </w:divBdr>
    </w:div>
    <w:div w:id="1146820881">
      <w:marLeft w:val="0"/>
      <w:marRight w:val="0"/>
      <w:marTop w:val="0"/>
      <w:marBottom w:val="0"/>
      <w:divBdr>
        <w:top w:val="none" w:sz="0" w:space="0" w:color="auto"/>
        <w:left w:val="none" w:sz="0" w:space="0" w:color="auto"/>
        <w:bottom w:val="none" w:sz="0" w:space="0" w:color="auto"/>
        <w:right w:val="none" w:sz="0" w:space="0" w:color="auto"/>
      </w:divBdr>
    </w:div>
    <w:div w:id="1146820882">
      <w:marLeft w:val="0"/>
      <w:marRight w:val="0"/>
      <w:marTop w:val="0"/>
      <w:marBottom w:val="0"/>
      <w:divBdr>
        <w:top w:val="none" w:sz="0" w:space="0" w:color="auto"/>
        <w:left w:val="none" w:sz="0" w:space="0" w:color="auto"/>
        <w:bottom w:val="none" w:sz="0" w:space="0" w:color="auto"/>
        <w:right w:val="none" w:sz="0" w:space="0" w:color="auto"/>
      </w:divBdr>
    </w:div>
    <w:div w:id="1146820883">
      <w:marLeft w:val="0"/>
      <w:marRight w:val="0"/>
      <w:marTop w:val="0"/>
      <w:marBottom w:val="0"/>
      <w:divBdr>
        <w:top w:val="none" w:sz="0" w:space="0" w:color="auto"/>
        <w:left w:val="none" w:sz="0" w:space="0" w:color="auto"/>
        <w:bottom w:val="none" w:sz="0" w:space="0" w:color="auto"/>
        <w:right w:val="none" w:sz="0" w:space="0" w:color="auto"/>
      </w:divBdr>
    </w:div>
    <w:div w:id="1146820884">
      <w:marLeft w:val="0"/>
      <w:marRight w:val="0"/>
      <w:marTop w:val="0"/>
      <w:marBottom w:val="0"/>
      <w:divBdr>
        <w:top w:val="none" w:sz="0" w:space="0" w:color="auto"/>
        <w:left w:val="none" w:sz="0" w:space="0" w:color="auto"/>
        <w:bottom w:val="none" w:sz="0" w:space="0" w:color="auto"/>
        <w:right w:val="none" w:sz="0" w:space="0" w:color="auto"/>
      </w:divBdr>
    </w:div>
    <w:div w:id="1146820885">
      <w:marLeft w:val="0"/>
      <w:marRight w:val="0"/>
      <w:marTop w:val="0"/>
      <w:marBottom w:val="0"/>
      <w:divBdr>
        <w:top w:val="none" w:sz="0" w:space="0" w:color="auto"/>
        <w:left w:val="none" w:sz="0" w:space="0" w:color="auto"/>
        <w:bottom w:val="none" w:sz="0" w:space="0" w:color="auto"/>
        <w:right w:val="none" w:sz="0" w:space="0" w:color="auto"/>
      </w:divBdr>
    </w:div>
    <w:div w:id="1146820886">
      <w:marLeft w:val="0"/>
      <w:marRight w:val="0"/>
      <w:marTop w:val="0"/>
      <w:marBottom w:val="0"/>
      <w:divBdr>
        <w:top w:val="none" w:sz="0" w:space="0" w:color="auto"/>
        <w:left w:val="none" w:sz="0" w:space="0" w:color="auto"/>
        <w:bottom w:val="none" w:sz="0" w:space="0" w:color="auto"/>
        <w:right w:val="none" w:sz="0" w:space="0" w:color="auto"/>
      </w:divBdr>
    </w:div>
    <w:div w:id="1146820887">
      <w:marLeft w:val="0"/>
      <w:marRight w:val="0"/>
      <w:marTop w:val="0"/>
      <w:marBottom w:val="0"/>
      <w:divBdr>
        <w:top w:val="none" w:sz="0" w:space="0" w:color="auto"/>
        <w:left w:val="none" w:sz="0" w:space="0" w:color="auto"/>
        <w:bottom w:val="none" w:sz="0" w:space="0" w:color="auto"/>
        <w:right w:val="none" w:sz="0" w:space="0" w:color="auto"/>
      </w:divBdr>
    </w:div>
    <w:div w:id="1146820888">
      <w:marLeft w:val="0"/>
      <w:marRight w:val="0"/>
      <w:marTop w:val="0"/>
      <w:marBottom w:val="0"/>
      <w:divBdr>
        <w:top w:val="none" w:sz="0" w:space="0" w:color="auto"/>
        <w:left w:val="none" w:sz="0" w:space="0" w:color="auto"/>
        <w:bottom w:val="none" w:sz="0" w:space="0" w:color="auto"/>
        <w:right w:val="none" w:sz="0" w:space="0" w:color="auto"/>
      </w:divBdr>
    </w:div>
    <w:div w:id="1146820889">
      <w:marLeft w:val="0"/>
      <w:marRight w:val="0"/>
      <w:marTop w:val="0"/>
      <w:marBottom w:val="0"/>
      <w:divBdr>
        <w:top w:val="none" w:sz="0" w:space="0" w:color="auto"/>
        <w:left w:val="none" w:sz="0" w:space="0" w:color="auto"/>
        <w:bottom w:val="none" w:sz="0" w:space="0" w:color="auto"/>
        <w:right w:val="none" w:sz="0" w:space="0" w:color="auto"/>
      </w:divBdr>
    </w:div>
    <w:div w:id="1146820890">
      <w:marLeft w:val="0"/>
      <w:marRight w:val="0"/>
      <w:marTop w:val="0"/>
      <w:marBottom w:val="0"/>
      <w:divBdr>
        <w:top w:val="none" w:sz="0" w:space="0" w:color="auto"/>
        <w:left w:val="none" w:sz="0" w:space="0" w:color="auto"/>
        <w:bottom w:val="none" w:sz="0" w:space="0" w:color="auto"/>
        <w:right w:val="none" w:sz="0" w:space="0" w:color="auto"/>
      </w:divBdr>
    </w:div>
    <w:div w:id="1146820891">
      <w:marLeft w:val="0"/>
      <w:marRight w:val="0"/>
      <w:marTop w:val="0"/>
      <w:marBottom w:val="0"/>
      <w:divBdr>
        <w:top w:val="none" w:sz="0" w:space="0" w:color="auto"/>
        <w:left w:val="none" w:sz="0" w:space="0" w:color="auto"/>
        <w:bottom w:val="none" w:sz="0" w:space="0" w:color="auto"/>
        <w:right w:val="none" w:sz="0" w:space="0" w:color="auto"/>
      </w:divBdr>
    </w:div>
    <w:div w:id="1146820892">
      <w:marLeft w:val="0"/>
      <w:marRight w:val="0"/>
      <w:marTop w:val="0"/>
      <w:marBottom w:val="0"/>
      <w:divBdr>
        <w:top w:val="none" w:sz="0" w:space="0" w:color="auto"/>
        <w:left w:val="none" w:sz="0" w:space="0" w:color="auto"/>
        <w:bottom w:val="none" w:sz="0" w:space="0" w:color="auto"/>
        <w:right w:val="none" w:sz="0" w:space="0" w:color="auto"/>
      </w:divBdr>
    </w:div>
    <w:div w:id="1146820893">
      <w:marLeft w:val="0"/>
      <w:marRight w:val="0"/>
      <w:marTop w:val="0"/>
      <w:marBottom w:val="0"/>
      <w:divBdr>
        <w:top w:val="none" w:sz="0" w:space="0" w:color="auto"/>
        <w:left w:val="none" w:sz="0" w:space="0" w:color="auto"/>
        <w:bottom w:val="none" w:sz="0" w:space="0" w:color="auto"/>
        <w:right w:val="none" w:sz="0" w:space="0" w:color="auto"/>
      </w:divBdr>
    </w:div>
    <w:div w:id="1146820894">
      <w:marLeft w:val="0"/>
      <w:marRight w:val="0"/>
      <w:marTop w:val="0"/>
      <w:marBottom w:val="0"/>
      <w:divBdr>
        <w:top w:val="none" w:sz="0" w:space="0" w:color="auto"/>
        <w:left w:val="none" w:sz="0" w:space="0" w:color="auto"/>
        <w:bottom w:val="none" w:sz="0" w:space="0" w:color="auto"/>
        <w:right w:val="none" w:sz="0" w:space="0" w:color="auto"/>
      </w:divBdr>
    </w:div>
    <w:div w:id="1146820895">
      <w:marLeft w:val="0"/>
      <w:marRight w:val="0"/>
      <w:marTop w:val="0"/>
      <w:marBottom w:val="0"/>
      <w:divBdr>
        <w:top w:val="none" w:sz="0" w:space="0" w:color="auto"/>
        <w:left w:val="none" w:sz="0" w:space="0" w:color="auto"/>
        <w:bottom w:val="none" w:sz="0" w:space="0" w:color="auto"/>
        <w:right w:val="none" w:sz="0" w:space="0" w:color="auto"/>
      </w:divBdr>
    </w:div>
    <w:div w:id="1146820896">
      <w:marLeft w:val="0"/>
      <w:marRight w:val="0"/>
      <w:marTop w:val="0"/>
      <w:marBottom w:val="0"/>
      <w:divBdr>
        <w:top w:val="none" w:sz="0" w:space="0" w:color="auto"/>
        <w:left w:val="none" w:sz="0" w:space="0" w:color="auto"/>
        <w:bottom w:val="none" w:sz="0" w:space="0" w:color="auto"/>
        <w:right w:val="none" w:sz="0" w:space="0" w:color="auto"/>
      </w:divBdr>
    </w:div>
    <w:div w:id="1146820897">
      <w:marLeft w:val="0"/>
      <w:marRight w:val="0"/>
      <w:marTop w:val="0"/>
      <w:marBottom w:val="0"/>
      <w:divBdr>
        <w:top w:val="none" w:sz="0" w:space="0" w:color="auto"/>
        <w:left w:val="none" w:sz="0" w:space="0" w:color="auto"/>
        <w:bottom w:val="none" w:sz="0" w:space="0" w:color="auto"/>
        <w:right w:val="none" w:sz="0" w:space="0" w:color="auto"/>
      </w:divBdr>
    </w:div>
    <w:div w:id="1146820898">
      <w:marLeft w:val="0"/>
      <w:marRight w:val="0"/>
      <w:marTop w:val="0"/>
      <w:marBottom w:val="0"/>
      <w:divBdr>
        <w:top w:val="none" w:sz="0" w:space="0" w:color="auto"/>
        <w:left w:val="none" w:sz="0" w:space="0" w:color="auto"/>
        <w:bottom w:val="none" w:sz="0" w:space="0" w:color="auto"/>
        <w:right w:val="none" w:sz="0" w:space="0" w:color="auto"/>
      </w:divBdr>
    </w:div>
    <w:div w:id="1217005730">
      <w:bodyDiv w:val="1"/>
      <w:marLeft w:val="0"/>
      <w:marRight w:val="0"/>
      <w:marTop w:val="0"/>
      <w:marBottom w:val="0"/>
      <w:divBdr>
        <w:top w:val="none" w:sz="0" w:space="0" w:color="auto"/>
        <w:left w:val="none" w:sz="0" w:space="0" w:color="auto"/>
        <w:bottom w:val="none" w:sz="0" w:space="0" w:color="auto"/>
        <w:right w:val="none" w:sz="0" w:space="0" w:color="auto"/>
      </w:divBdr>
    </w:div>
    <w:div w:id="1280258994">
      <w:bodyDiv w:val="1"/>
      <w:marLeft w:val="0"/>
      <w:marRight w:val="0"/>
      <w:marTop w:val="0"/>
      <w:marBottom w:val="0"/>
      <w:divBdr>
        <w:top w:val="none" w:sz="0" w:space="0" w:color="auto"/>
        <w:left w:val="none" w:sz="0" w:space="0" w:color="auto"/>
        <w:bottom w:val="none" w:sz="0" w:space="0" w:color="auto"/>
        <w:right w:val="none" w:sz="0" w:space="0" w:color="auto"/>
      </w:divBdr>
    </w:div>
    <w:div w:id="1299650200">
      <w:bodyDiv w:val="1"/>
      <w:marLeft w:val="0"/>
      <w:marRight w:val="0"/>
      <w:marTop w:val="0"/>
      <w:marBottom w:val="0"/>
      <w:divBdr>
        <w:top w:val="none" w:sz="0" w:space="0" w:color="auto"/>
        <w:left w:val="none" w:sz="0" w:space="0" w:color="auto"/>
        <w:bottom w:val="none" w:sz="0" w:space="0" w:color="auto"/>
        <w:right w:val="none" w:sz="0" w:space="0" w:color="auto"/>
      </w:divBdr>
    </w:div>
    <w:div w:id="1445536750">
      <w:bodyDiv w:val="1"/>
      <w:marLeft w:val="0"/>
      <w:marRight w:val="0"/>
      <w:marTop w:val="0"/>
      <w:marBottom w:val="0"/>
      <w:divBdr>
        <w:top w:val="none" w:sz="0" w:space="0" w:color="auto"/>
        <w:left w:val="none" w:sz="0" w:space="0" w:color="auto"/>
        <w:bottom w:val="none" w:sz="0" w:space="0" w:color="auto"/>
        <w:right w:val="none" w:sz="0" w:space="0" w:color="auto"/>
      </w:divBdr>
    </w:div>
    <w:div w:id="1465386016">
      <w:bodyDiv w:val="1"/>
      <w:marLeft w:val="0"/>
      <w:marRight w:val="0"/>
      <w:marTop w:val="0"/>
      <w:marBottom w:val="0"/>
      <w:divBdr>
        <w:top w:val="none" w:sz="0" w:space="0" w:color="auto"/>
        <w:left w:val="none" w:sz="0" w:space="0" w:color="auto"/>
        <w:bottom w:val="none" w:sz="0" w:space="0" w:color="auto"/>
        <w:right w:val="none" w:sz="0" w:space="0" w:color="auto"/>
      </w:divBdr>
    </w:div>
    <w:div w:id="1982877821">
      <w:bodyDiv w:val="1"/>
      <w:marLeft w:val="0"/>
      <w:marRight w:val="0"/>
      <w:marTop w:val="0"/>
      <w:marBottom w:val="0"/>
      <w:divBdr>
        <w:top w:val="none" w:sz="0" w:space="0" w:color="auto"/>
        <w:left w:val="none" w:sz="0" w:space="0" w:color="auto"/>
        <w:bottom w:val="none" w:sz="0" w:space="0" w:color="auto"/>
        <w:right w:val="none" w:sz="0" w:space="0" w:color="auto"/>
      </w:divBdr>
    </w:div>
    <w:div w:id="1996101726">
      <w:bodyDiv w:val="1"/>
      <w:marLeft w:val="0"/>
      <w:marRight w:val="0"/>
      <w:marTop w:val="0"/>
      <w:marBottom w:val="0"/>
      <w:divBdr>
        <w:top w:val="none" w:sz="0" w:space="0" w:color="auto"/>
        <w:left w:val="none" w:sz="0" w:space="0" w:color="auto"/>
        <w:bottom w:val="none" w:sz="0" w:space="0" w:color="auto"/>
        <w:right w:val="none" w:sz="0" w:space="0" w:color="auto"/>
      </w:divBdr>
    </w:div>
    <w:div w:id="20655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caglobal.com/uk/en/employer/recruit-acca-accounting-technician-apprentic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pprenticeships.gov.uk/employer/how-much-is-it-going-to-co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13" ma:contentTypeDescription="Create a new document." ma:contentTypeScope="" ma:versionID="8f0ee27b8b36d6a650f765a08c13cfd2">
  <xsd:schema xmlns:xsd="http://www.w3.org/2001/XMLSchema" xmlns:xs="http://www.w3.org/2001/XMLSchema" xmlns:p="http://schemas.microsoft.com/office/2006/metadata/properties" xmlns:ns3="e26c4e50-ea9b-4192-94d2-e70236926e53" xmlns:ns4="d3197d30-c7b6-4274-b863-7e34421eb7a1" targetNamespace="http://schemas.microsoft.com/office/2006/metadata/properties" ma:root="true" ma:fieldsID="6350e9e1a112ea1977e6d3b216f9fb0f" ns3:_="" ns4:_="">
    <xsd:import namespace="e26c4e50-ea9b-4192-94d2-e70236926e53"/>
    <xsd:import namespace="d3197d30-c7b6-4274-b863-7e34421eb7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4e50-ea9b-4192-94d2-e70236926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4D5C-74AB-4CA5-9D4F-FDCE0272D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4e50-ea9b-4192-94d2-e70236926e53"/>
    <ds:schemaRef ds:uri="d3197d30-c7b6-4274-b863-7e34421e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2FC5B-68B7-4C31-91EC-A10186A70EBE}">
  <ds:schemaRefs>
    <ds:schemaRef ds:uri="d3197d30-c7b6-4274-b863-7e34421eb7a1"/>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e26c4e50-ea9b-4192-94d2-e70236926e5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CC0E36-0415-4C4F-9851-06EEEE170CEE}">
  <ds:schemaRefs>
    <ds:schemaRef ds:uri="http://schemas.microsoft.com/sharepoint/v3/contenttype/forms"/>
  </ds:schemaRefs>
</ds:datastoreItem>
</file>

<file path=customXml/itemProps4.xml><?xml version="1.0" encoding="utf-8"?>
<ds:datastoreItem xmlns:ds="http://schemas.openxmlformats.org/officeDocument/2006/customXml" ds:itemID="{D4255677-0CE2-4830-A469-B99B2312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1017</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6454</CharactersWithSpaces>
  <SharedDoc>false</SharedDoc>
  <HLinks>
    <vt:vector size="6" baseType="variant">
      <vt:variant>
        <vt:i4>7602297</vt:i4>
      </vt:variant>
      <vt:variant>
        <vt:i4>0</vt:i4>
      </vt:variant>
      <vt:variant>
        <vt:i4>0</vt:i4>
      </vt:variant>
      <vt:variant>
        <vt:i4>5</vt:i4>
      </vt:variant>
      <vt:variant>
        <vt:lpwstr>http://accainpractice.newsweaver.co.uk/accainpractice/lnymwd3r1rl?a=6&amp;p=51483286&amp;t=28218204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Fraser</dc:creator>
  <cp:lastModifiedBy>John Tiltman</cp:lastModifiedBy>
  <cp:revision>4</cp:revision>
  <cp:lastPrinted>2018-10-29T18:39:00Z</cp:lastPrinted>
  <dcterms:created xsi:type="dcterms:W3CDTF">2020-03-12T09:10:00Z</dcterms:created>
  <dcterms:modified xsi:type="dcterms:W3CDTF">2020-03-12T09:17:00Z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